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eastAsia="仿宋_GB2312" w:cs="Arial"/>
          <w:b/>
          <w:color w:val="auto"/>
          <w:sz w:val="52"/>
          <w:szCs w:val="52"/>
          <w:highlight w:val="none"/>
        </w:rPr>
      </w:pPr>
      <w:r>
        <w:rPr>
          <w:rFonts w:ascii="Arial" w:hAnsi="Arial" w:eastAsia="仿宋_GB2312" w:cs="Arial"/>
          <w:b/>
          <w:color w:val="auto"/>
          <w:sz w:val="52"/>
          <w:szCs w:val="52"/>
          <w:highlight w:val="none"/>
        </w:rPr>
      </w:r>
      <w:r/>
    </w:p>
    <w:p>
      <w:pPr>
        <w:jc w:val="center"/>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jc w:val="center"/>
        <w:rPr>
          <w:rFonts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靖江市政府采购项目</w:t>
      </w:r>
      <w:r/>
    </w:p>
    <w:p>
      <w:pPr>
        <w:pStyle w:val="1186"/>
        <w:ind w:firstLine="400"/>
        <w:rPr>
          <w:color w:val="auto"/>
          <w:highlight w:val="none"/>
        </w:rPr>
      </w:pPr>
      <w:r>
        <w:rPr>
          <w:color w:val="auto"/>
          <w:highlight w:val="none"/>
        </w:rPr>
      </w:r>
      <w:r/>
    </w:p>
    <w:p>
      <w:pPr>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磋商文件</w:t>
      </w:r>
      <w:r/>
    </w:p>
    <w:p>
      <w:pPr>
        <w:jc w:val="center"/>
        <w:rPr>
          <w:rFonts w:ascii="仿宋" w:hAnsi="仿宋" w:eastAsia="仿宋" w:cs="仿宋"/>
          <w:b/>
          <w:bCs/>
          <w:color w:val="auto"/>
          <w:spacing w:val="28"/>
          <w:sz w:val="36"/>
          <w:szCs w:val="36"/>
          <w:highlight w:val="none"/>
        </w:rPr>
      </w:pPr>
      <w:r>
        <w:rPr>
          <w:rFonts w:hint="eastAsia" w:ascii="仿宋" w:hAnsi="仿宋" w:eastAsia="仿宋" w:cs="仿宋"/>
          <w:b/>
          <w:bCs/>
          <w:color w:val="auto"/>
          <w:spacing w:val="28"/>
          <w:sz w:val="36"/>
          <w:szCs w:val="36"/>
          <w:highlight w:val="none"/>
        </w:rPr>
        <w:t xml:space="preserve">（竞争性磋商）</w:t>
      </w:r>
      <w:r/>
    </w:p>
    <w:p>
      <w:pPr>
        <w:pStyle w:val="1186"/>
        <w:ind w:firstLine="400"/>
        <w:rPr>
          <w:color w:val="auto"/>
          <w:highlight w:val="none"/>
        </w:rPr>
      </w:pPr>
      <w:r>
        <w:rPr>
          <w:color w:val="auto"/>
          <w:highlight w:val="none"/>
        </w:rPr>
      </w:r>
      <w:r/>
    </w:p>
    <w:p>
      <w:pPr>
        <w:jc w:val="center"/>
        <w:rPr>
          <w:rFonts w:ascii="仿宋" w:hAnsi="仿宋" w:eastAsia="仿宋" w:cs="仿宋"/>
          <w:b/>
          <w:bCs/>
          <w:color w:val="auto"/>
          <w:sz w:val="32"/>
          <w:highlight w:val="none"/>
        </w:rPr>
      </w:pPr>
      <w:r>
        <w:rPr>
          <w:rFonts w:hint="eastAsia" w:ascii="华文行楷" w:hAnsi="华文行楷" w:eastAsia="华文行楷" w:cs="华文行楷"/>
          <w:color w:val="auto"/>
          <w:sz w:val="24"/>
          <w:highlight w:val="none"/>
        </w:rPr>
        <mc:AlternateContent>
          <mc:Choice Requires="wpg">
            <w:drawing>
              <wp:inline xmlns:wp="http://schemas.openxmlformats.org/drawingml/2006/wordprocessingDrawing" distT="0" distB="0" distL="0" distR="0">
                <wp:extent cx="1420495" cy="1433195"/>
                <wp:effectExtent l="0" t="0" r="8255" b="14604"/>
                <wp:docPr id="1" name="图片 1" descr="澄建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澄建徽标"/>
                        <pic:cNvPicPr>
                          <a:picLocks noChangeAspect="1"/>
                        </pic:cNvPicPr>
                        <pic:nvPr/>
                      </pic:nvPicPr>
                      <pic:blipFill>
                        <a:blip r:embed="rId28"/>
                        <a:stretch/>
                      </pic:blipFill>
                      <pic:spPr bwMode="auto">
                        <a:xfrm>
                          <a:off x="0" y="0"/>
                          <a:ext cx="1420495" cy="14331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1.8pt;height:112.8pt;mso-wrap-distance-left:0.0pt;mso-wrap-distance-top:0.0pt;mso-wrap-distance-right:0.0pt;mso-wrap-distance-bottom:0.0pt;" stroked="f">
                <v:path textboxrect="0,0,0,0"/>
                <v:imagedata r:id="rId28" o:title=""/>
              </v:shape>
            </w:pict>
          </mc:Fallback>
        </mc:AlternateContent>
      </w:r>
      <w:r/>
    </w:p>
    <w:p>
      <w:pPr>
        <w:pStyle w:val="1186"/>
        <w:ind w:firstLine="400"/>
        <w:rPr>
          <w:color w:val="auto"/>
          <w:highlight w:val="none"/>
        </w:rPr>
      </w:pPr>
      <w:r>
        <w:rPr>
          <w:color w:val="auto"/>
          <w:highlight w:val="none"/>
        </w:rPr>
      </w:r>
      <w:r/>
    </w:p>
    <w:p>
      <w:pPr>
        <w:ind w:left="1984" w:hanging="1417"/>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ind w:left="2527" w:hanging="1968"/>
        <w:spacing w:line="360" w:lineRule="auto"/>
        <w:rPr>
          <w:rFonts w:hint="eastAsia" w:ascii="仿宋" w:hAnsi="仿宋" w:eastAsia="仿宋" w:cs="仿宋"/>
          <w:b/>
          <w:bCs/>
          <w:color w:val="auto"/>
          <w:sz w:val="28"/>
          <w:szCs w:val="28"/>
          <w:highlight w:val="none"/>
          <w:lang w:val="en-GB" w:eastAsia="zh-CN"/>
        </w:rPr>
      </w:pPr>
      <w:r>
        <w:rPr>
          <w:rFonts w:hint="eastAsia" w:ascii="仿宋" w:hAnsi="仿宋" w:eastAsia="仿宋" w:cs="仿宋"/>
          <w:b/>
          <w:bCs/>
          <w:color w:val="auto"/>
          <w:sz w:val="28"/>
          <w:szCs w:val="28"/>
          <w:highlight w:val="none"/>
          <w:lang w:val="en-GB"/>
        </w:rPr>
        <w:t xml:space="preserve">项 目 名 称：</w:t>
      </w:r>
      <w:bookmarkStart w:id="0" w:name="_Toc387685404"/>
      <w:r/>
      <w:bookmarkEnd w:id="0"/>
      <w:r/>
      <w:bookmarkStart w:id="1" w:name="_Toc387685485"/>
      <w:r/>
      <w:bookmarkEnd w:id="1"/>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z w:val="28"/>
          <w:szCs w:val="28"/>
          <w:highlight w:val="none"/>
          <w:lang w:val="en-GB" w:eastAsia="zh-CN"/>
        </w:rPr>
        <w:t xml:space="preserve">泰州市靖江滨江风光带区域特色自然和人文资源调查试点工作项目</w:t>
      </w:r>
      <w:r/>
    </w:p>
    <w:p>
      <w:pPr>
        <w:pStyle w:val="1145"/>
        <w:rPr>
          <w:color w:val="auto"/>
          <w:highlight w:val="none"/>
          <w:lang w:val="en-GB"/>
        </w:rPr>
      </w:pPr>
      <w:r>
        <w:rPr>
          <w:color w:val="auto"/>
          <w:highlight w:val="none"/>
          <w:lang w:val="en-GB"/>
        </w:rPr>
      </w:r>
      <w:r/>
    </w:p>
    <w:p>
      <w:pPr>
        <w:ind w:firstLine="562"/>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ind w:firstLine="562"/>
        <w:spacing w:line="360" w:lineRule="auto"/>
        <w:rPr>
          <w:rFonts w:hint="eastAsia" w:ascii="仿宋" w:hAnsi="仿宋" w:eastAsia="仿宋" w:cs="仿宋"/>
          <w:b/>
          <w:bCs/>
          <w:color w:val="auto"/>
          <w:sz w:val="28"/>
          <w:szCs w:val="28"/>
          <w:highlight w:val="none"/>
          <w:lang w:val="en-GB" w:eastAsia="zh-CN"/>
        </w:rPr>
      </w:pPr>
      <w:r>
        <w:rPr>
          <w:rFonts w:hint="eastAsia" w:ascii="仿宋" w:hAnsi="仿宋" w:eastAsia="仿宋" w:cs="仿宋"/>
          <w:b/>
          <w:bCs/>
          <w:color w:val="auto"/>
          <w:sz w:val="28"/>
          <w:szCs w:val="28"/>
          <w:highlight w:val="none"/>
          <w:lang w:val="en-GB"/>
        </w:rPr>
        <w:t xml:space="preserve">项 目 编 号： </w:t>
      </w:r>
      <w:r>
        <w:rPr>
          <w:rFonts w:hint="eastAsia" w:ascii="仿宋" w:hAnsi="仿宋" w:eastAsia="仿宋" w:cs="仿宋"/>
          <w:b/>
          <w:bCs/>
          <w:color w:val="auto"/>
          <w:sz w:val="28"/>
          <w:szCs w:val="28"/>
          <w:highlight w:val="none"/>
          <w:lang w:val="en-GB" w:eastAsia="zh-CN"/>
        </w:rPr>
        <w:t xml:space="preserve">JSZC-321282-CJZD-C2025-0074</w:t>
      </w:r>
      <w:r/>
    </w:p>
    <w:p>
      <w:pPr>
        <w:pStyle w:val="1186"/>
        <w:ind w:firstLine="400"/>
        <w:rPr>
          <w:color w:val="auto"/>
          <w:highlight w:val="none"/>
          <w:lang w:val="en-GB"/>
        </w:rPr>
      </w:pPr>
      <w:r>
        <w:rPr>
          <w:color w:val="auto"/>
          <w:highlight w:val="none"/>
          <w:lang w:val="en-GB"/>
        </w:rPr>
      </w:r>
      <w:r/>
    </w:p>
    <w:p>
      <w:pPr>
        <w:ind w:firstLine="562"/>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ind w:firstLine="562"/>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采</w:t>
      </w:r>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z w:val="28"/>
          <w:szCs w:val="28"/>
          <w:highlight w:val="none"/>
          <w:lang w:val="en-GB"/>
        </w:rPr>
        <w:t xml:space="preserve"> 购</w:t>
      </w:r>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z w:val="28"/>
          <w:szCs w:val="28"/>
          <w:highlight w:val="none"/>
          <w:lang w:val="en-GB"/>
        </w:rPr>
        <w:t xml:space="preserve">人： 靖江市自然资源和规划局</w:t>
      </w:r>
      <w:r/>
    </w:p>
    <w:p>
      <w:pPr>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ind w:firstLine="562"/>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ind w:firstLine="562"/>
        <w:rPr>
          <w:rFonts w:ascii="仿宋" w:hAnsi="仿宋" w:eastAsia="仿宋" w:cs="仿宋"/>
          <w:b/>
          <w:bCs/>
          <w:color w:val="auto"/>
          <w:sz w:val="32"/>
          <w:highlight w:val="none"/>
          <w:lang w:val="en-GB"/>
        </w:rPr>
      </w:pPr>
      <w:r>
        <w:rPr>
          <w:rFonts w:hint="eastAsia" w:ascii="仿宋" w:hAnsi="仿宋" w:eastAsia="仿宋" w:cs="仿宋"/>
          <w:b/>
          <w:bCs/>
          <w:color w:val="auto"/>
          <w:sz w:val="28"/>
          <w:szCs w:val="28"/>
          <w:highlight w:val="none"/>
          <w:lang w:val="en-GB"/>
        </w:rPr>
        <w:t xml:space="preserve">采购代理机构：江苏澄建正达工程项目管理有限公司</w:t>
      </w:r>
      <w:r/>
    </w:p>
    <w:p>
      <w:pPr>
        <w:jc w:val="center"/>
        <w:rPr>
          <w:rFonts w:ascii="仿宋" w:hAnsi="仿宋" w:eastAsia="仿宋" w:cs="仿宋"/>
          <w:b/>
          <w:bCs/>
          <w:color w:val="auto"/>
          <w:sz w:val="32"/>
          <w:highlight w:val="none"/>
          <w:lang w:val="en-GB"/>
        </w:rPr>
      </w:pPr>
      <w:r>
        <w:rPr>
          <w:rFonts w:ascii="仿宋" w:hAnsi="仿宋" w:eastAsia="仿宋" w:cs="仿宋"/>
          <w:b/>
          <w:bCs/>
          <w:color w:val="auto"/>
          <w:sz w:val="32"/>
          <w:highlight w:val="none"/>
          <w:lang w:val="en-GB"/>
        </w:rPr>
      </w:r>
      <w:r/>
    </w:p>
    <w:p>
      <w:pPr>
        <w:jc w:val="center"/>
        <w:spacing w:line="500" w:lineRule="exact"/>
        <w:rPr>
          <w:rFonts w:ascii="仿宋" w:hAnsi="仿宋" w:eastAsia="仿宋" w:cs="仿宋"/>
          <w:b/>
          <w:bCs/>
          <w:color w:val="auto"/>
          <w:sz w:val="24"/>
          <w:highlight w:val="none"/>
          <w:lang w:val="en-GB"/>
        </w:rPr>
      </w:pPr>
      <w:r>
        <w:rPr>
          <w:rFonts w:ascii="仿宋" w:hAnsi="仿宋" w:eastAsia="仿宋" w:cs="仿宋"/>
          <w:b/>
          <w:bCs/>
          <w:color w:val="auto"/>
          <w:sz w:val="24"/>
          <w:highlight w:val="none"/>
          <w:lang w:val="en-GB"/>
        </w:rPr>
      </w:r>
      <w:r/>
    </w:p>
    <w:p>
      <w:pPr>
        <w:jc w:val="center"/>
        <w:spacing w:line="500" w:lineRule="exact"/>
        <w:rPr>
          <w:rFonts w:ascii="仿宋" w:hAnsi="仿宋" w:eastAsia="仿宋" w:cs="仿宋"/>
          <w:b/>
          <w:bCs/>
          <w:color w:val="auto"/>
          <w:sz w:val="24"/>
          <w:highlight w:val="none"/>
          <w:lang w:val="en-GB"/>
        </w:rPr>
      </w:pPr>
      <w:r>
        <w:rPr>
          <w:rFonts w:hint="eastAsia" w:ascii="仿宋" w:hAnsi="仿宋" w:eastAsia="仿宋" w:cs="仿宋"/>
          <w:b/>
          <w:bCs/>
          <w:color w:val="auto"/>
          <w:sz w:val="24"/>
          <w:highlight w:val="none"/>
          <w:lang w:val="en-GB"/>
        </w:rPr>
        <w:t xml:space="preserve">发布日期：202</w:t>
      </w:r>
      <w:r>
        <w:rPr>
          <w:rFonts w:hint="eastAsia" w:ascii="仿宋" w:hAnsi="仿宋" w:eastAsia="仿宋" w:cs="仿宋"/>
          <w:b/>
          <w:bCs/>
          <w:color w:val="auto"/>
          <w:sz w:val="24"/>
          <w:highlight w:val="none"/>
        </w:rPr>
        <w:t xml:space="preserve">5</w:t>
      </w:r>
      <w:r>
        <w:rPr>
          <w:rFonts w:hint="eastAsia" w:ascii="仿宋" w:hAnsi="仿宋" w:eastAsia="仿宋" w:cs="仿宋"/>
          <w:b/>
          <w:bCs/>
          <w:color w:val="auto"/>
          <w:sz w:val="24"/>
          <w:highlight w:val="none"/>
          <w:lang w:val="en-GB"/>
        </w:rPr>
        <w:t xml:space="preserve">年</w:t>
      </w:r>
      <w:r>
        <w:rPr>
          <w:rFonts w:hint="eastAsia" w:ascii="仿宋" w:hAnsi="仿宋" w:eastAsia="仿宋" w:cs="仿宋"/>
          <w:b/>
          <w:bCs/>
          <w:color w:val="auto"/>
          <w:sz w:val="24"/>
          <w:highlight w:val="none"/>
        </w:rPr>
        <w:t xml:space="preserve">10</w:t>
      </w:r>
      <w:r>
        <w:rPr>
          <w:rFonts w:hint="eastAsia" w:ascii="仿宋" w:hAnsi="仿宋" w:eastAsia="仿宋" w:cs="仿宋"/>
          <w:b/>
          <w:bCs/>
          <w:color w:val="auto"/>
          <w:sz w:val="24"/>
          <w:highlight w:val="none"/>
          <w:lang w:val="en-GB"/>
        </w:rPr>
        <w:t xml:space="preserve">月</w:t>
      </w:r>
      <w:r/>
    </w:p>
    <w:p>
      <w:pPr>
        <w:jc w:val="center"/>
        <w:spacing w:line="360" w:lineRule="auto"/>
        <w:rPr>
          <w:rFonts w:ascii="仿宋" w:hAnsi="仿宋" w:eastAsia="仿宋" w:cs="仿宋"/>
          <w:b/>
          <w:color w:val="auto"/>
          <w:sz w:val="30"/>
          <w:szCs w:val="30"/>
          <w:highlight w:val="none"/>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b/>
          <w:color w:val="auto"/>
          <w:sz w:val="30"/>
          <w:szCs w:val="30"/>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各政府采购供应商：</w:t>
      </w:r>
      <w:r/>
    </w:p>
    <w:p>
      <w:pPr>
        <w:ind w:firstLine="522"/>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今年我市已正式启用“苏采云”系统，目前已全面开</w:t>
      </w:r>
      <w:r>
        <w:rPr>
          <w:rFonts w:hint="eastAsia" w:ascii="仿宋" w:hAnsi="仿宋" w:eastAsia="仿宋" w:cs="仿宋"/>
          <w:color w:val="auto"/>
          <w:spacing w:val="11"/>
          <w:sz w:val="24"/>
          <w:highlight w:val="none"/>
        </w:rPr>
        <w:t xml:space="preserve">通</w:t>
      </w:r>
      <w:r>
        <w:rPr>
          <w:rFonts w:hint="eastAsia" w:ascii="仿宋" w:hAnsi="仿宋" w:eastAsia="仿宋" w:cs="仿宋"/>
          <w:color w:val="auto"/>
          <w:spacing w:val="1"/>
          <w:sz w:val="24"/>
          <w:highlight w:val="none"/>
        </w:rPr>
        <w:t xml:space="preserve">政府采购线上合同信用融资（以下简称“政采贷”）功能。成交供应商可凭政府采购合同在中征平台发起贷款申请贷款。</w:t>
      </w:r>
      <w:r/>
    </w:p>
    <w:p>
      <w:pPr>
        <w:pStyle w:val="1179"/>
        <w:ind w:left="640"/>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“政采贷”业务流程</w:t>
      </w:r>
      <w:r/>
    </w:p>
    <w:p>
      <w:pPr>
        <w:pStyle w:val="1179"/>
        <w:jc w:val="center"/>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5267325" cy="15532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
                <v:path textboxrect="0,0,0,0"/>
                <v:imagedata r:id="rId29" o:title=""/>
              </v:shape>
            </w:pict>
          </mc:Fallback>
        </mc:AlternateConten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常见问题</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答：江苏省内采用国库集中支付的政府采购项目的中标供应商，可凭政府采购合同申请"政采贷"。</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179"/>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93"/>
          <w:rFonts w:hint="eastAsia" w:ascii="仿宋" w:hAnsi="仿宋" w:eastAsia="仿宋" w:cs="仿宋"/>
          <w:color w:val="auto"/>
          <w:spacing w:val="1"/>
          <w:sz w:val="24"/>
          <w:highlight w:val="none"/>
        </w:rPr>
        <w:t xml:space="preserve">http://www.ccgp-jiangsu.gov.cn/jiangsu/paying.html</w:t>
      </w:r>
      <w:r>
        <w:rPr>
          <w:rStyle w:val="1193"/>
          <w:rFonts w:hint="eastAsia" w:ascii="仿宋" w:hAnsi="仿宋" w:eastAsia="仿宋" w:cs="仿宋"/>
          <w:color w:val="auto"/>
          <w:spacing w:val="1"/>
          <w:sz w:val="24"/>
          <w:highlight w:val="none"/>
        </w:rPr>
        <w:fldChar w:fldCharType="end"/>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93"/>
          <w:rFonts w:hint="eastAsia" w:ascii="仿宋" w:hAnsi="仿宋" w:eastAsia="仿宋" w:cs="仿宋"/>
          <w:color w:val="auto"/>
          <w:spacing w:val="1"/>
          <w:sz w:val="24"/>
          <w:highlight w:val="none"/>
        </w:rPr>
        <w:t xml:space="preserve">https://www.crcrfsp.com/</w:t>
      </w:r>
      <w:r>
        <w:rPr>
          <w:rStyle w:val="1193"/>
          <w:rFonts w:hint="eastAsia" w:ascii="仿宋" w:hAnsi="仿宋" w:eastAsia="仿宋" w:cs="仿宋"/>
          <w:color w:val="auto"/>
          <w:spacing w:val="1"/>
          <w:sz w:val="24"/>
          <w:highlight w:val="none"/>
        </w:rPr>
        <w:fldChar w:fldCharType="end"/>
      </w:r>
      <w:r/>
    </w:p>
    <w:p>
      <w:pPr>
        <w:pStyle w:val="1179"/>
        <w:jc w:val="both"/>
        <w:spacing w:before="0" w:beforeAutospacing="0" w:after="0" w:afterAutospacing="0" w:line="36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联系电话：0523-84821917</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1.业务流程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2.苏采云资料</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93"/>
          <w:rFonts w:hint="eastAsia" w:ascii="仿宋" w:hAnsi="仿宋" w:eastAsia="仿宋" w:cs="仿宋"/>
          <w:color w:val="auto"/>
          <w:sz w:val="24"/>
          <w:highlight w:val="none"/>
          <w:shd w:val="clear" w:color="auto" w:fill="ffffff"/>
        </w:rPr>
        <w:t xml:space="preserve">苏采云系统操作手册（供应商）</w:t>
      </w:r>
      <w:r>
        <w:rPr>
          <w:rStyle w:val="1193"/>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rPr>
        <w:t xml:space="preserve">”，进行下载。</w:t>
      </w:r>
      <w:r/>
    </w:p>
    <w:p>
      <w:pPr>
        <w:ind w:firstLine="420"/>
        <w:spacing w:line="360" w:lineRule="exact"/>
        <w:rPr>
          <w:rStyle w:val="1193"/>
          <w:rFonts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93"/>
          <w:rFonts w:hint="eastAsia" w:ascii="仿宋" w:hAnsi="仿宋" w:eastAsia="仿宋" w:cs="仿宋"/>
          <w:color w:val="auto"/>
          <w:sz w:val="24"/>
          <w:highlight w:val="none"/>
          <w:shd w:val="clear" w:color="auto" w:fill="ffffff"/>
        </w:rPr>
        <w:t xml:space="preserve">http://czj.taizhou.gov.cn/col/col61762/index.html</w:t>
      </w:r>
      <w:r>
        <w:rPr>
          <w:rStyle w:val="1193"/>
          <w:rFonts w:hint="eastAsia" w:ascii="仿宋" w:hAnsi="仿宋" w:eastAsia="仿宋" w:cs="仿宋"/>
          <w:color w:val="auto"/>
          <w:sz w:val="24"/>
          <w:highlight w:val="none"/>
          <w:shd w:val="clear" w:color="auto" w:fill="ffffff"/>
        </w:rPr>
        <w:fldChar w:fldCharType="end"/>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highlight w:val="none"/>
          <w:shd w:val="clear" w:color="auto" w:fill="ffffff"/>
        </w:rPr>
        <w:t xml:space="preserve">http://www.ccgp-jiangsu.gov.cn/zlxz）。</w:t>
      </w:r>
      <w:r>
        <w:rPr>
          <w:rFonts w:hint="eastAsia" w:ascii="仿宋" w:hAnsi="仿宋" w:eastAsia="仿宋" w:cs="仿宋"/>
          <w:color w:val="auto"/>
          <w:sz w:val="24"/>
          <w:highlight w:val="none"/>
          <w:shd w:val="clear" w:color="auto" w:fill="ffffff"/>
        </w:rPr>
        <w:fldChar w:fldCharType="end"/>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5.如潜在供应商未按上述要求操作，将自行承担所产生的风险。</w:t>
      </w:r>
      <w:r/>
    </w:p>
    <w:p>
      <w:pPr>
        <w:pStyle w:val="908"/>
        <w:rPr>
          <w:color w:val="auto"/>
          <w:highlight w:val="none"/>
        </w:rPr>
      </w:pPr>
      <w:r>
        <w:rPr>
          <w:color w:val="auto"/>
          <w:highlight w:val="none"/>
        </w:rPr>
      </w:r>
      <w:r/>
    </w:p>
    <w:p>
      <w:pPr>
        <w:pStyle w:val="908"/>
        <w:rPr>
          <w:color w:val="auto"/>
          <w:highlight w:val="none"/>
        </w:rPr>
      </w:pPr>
      <w:r>
        <w:rPr>
          <w:color w:val="auto"/>
          <w:highlight w:val="none"/>
        </w:rPr>
      </w:r>
      <w:r/>
    </w:p>
    <w:p>
      <w:pPr>
        <w:pStyle w:val="908"/>
        <w:rPr>
          <w:color w:val="auto"/>
          <w:highlight w:val="none"/>
        </w:rPr>
      </w:pPr>
      <w:r>
        <w:rPr>
          <w:color w:val="auto"/>
          <w:highlight w:val="none"/>
        </w:rPr>
      </w:r>
      <w:r/>
    </w:p>
    <w:p>
      <w:pPr>
        <w:pStyle w:val="908"/>
        <w:rPr>
          <w:color w:val="auto"/>
          <w:highlight w:val="none"/>
        </w:rPr>
      </w:pPr>
      <w:r>
        <w:rPr>
          <w:color w:val="auto"/>
          <w:highlight w:val="none"/>
        </w:rPr>
      </w:r>
      <w:r/>
    </w:p>
    <w:p>
      <w:pPr>
        <w:pStyle w:val="908"/>
        <w:rPr>
          <w:color w:val="auto"/>
          <w:highlight w:val="none"/>
        </w:rPr>
      </w:pPr>
      <w:r>
        <w:rPr>
          <w:color w:val="auto"/>
          <w:highlight w:val="none"/>
        </w:rPr>
      </w:r>
      <w:r/>
    </w:p>
    <w:p>
      <w:pPr>
        <w:pStyle w:val="908"/>
        <w:rPr>
          <w:color w:val="auto"/>
          <w:highlight w:val="none"/>
        </w:rPr>
      </w:pPr>
      <w:r>
        <w:rPr>
          <w:color w:val="auto"/>
          <w:highlight w:val="none"/>
        </w:rPr>
      </w:r>
      <w:r/>
    </w:p>
    <w:p>
      <w:pPr>
        <w:pStyle w:val="908"/>
        <w:rPr>
          <w:color w:val="auto"/>
          <w:highlight w:val="none"/>
        </w:rPr>
      </w:pPr>
      <w:r>
        <w:rPr>
          <w:color w:val="auto"/>
          <w:highlight w:val="none"/>
        </w:rPr>
      </w:r>
      <w:r/>
    </w:p>
    <w:p>
      <w:pPr>
        <w:pStyle w:val="908"/>
        <w:rPr>
          <w:color w:val="auto"/>
          <w:highlight w:val="none"/>
        </w:rPr>
      </w:pPr>
      <w:r>
        <w:rPr>
          <w:color w:val="auto"/>
          <w:highlight w:val="none"/>
        </w:rPr>
      </w:r>
      <w:r/>
    </w:p>
    <w:p>
      <w:pPr>
        <w:pStyle w:val="908"/>
        <w:rPr>
          <w:color w:val="auto"/>
          <w:highlight w:val="none"/>
        </w:rPr>
      </w:pPr>
      <w:r>
        <w:rPr>
          <w:color w:val="auto"/>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jc w:val="left"/>
        <w:spacing w:line="300" w:lineRule="auto"/>
        <w:widowControl/>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08"/>
        <w:ind w:firstLine="48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29"/>
        <w:ind w:firstLine="480"/>
        <w:spacing w:after="0" w:line="360" w:lineRule="exact"/>
        <w:rPr>
          <w:rFonts w:ascii="仿宋" w:hAnsi="仿宋" w:eastAsia="仿宋" w:cs="仿宋"/>
          <w:color w:val="auto"/>
          <w:highlight w:val="none"/>
        </w:rPr>
      </w:pPr>
      <w:r>
        <w:rPr>
          <w:rFonts w:ascii="仿宋" w:hAnsi="仿宋" w:eastAsia="仿宋" w:cs="仿宋"/>
          <w:color w:val="auto"/>
          <w:highlight w:val="none"/>
        </w:rPr>
      </w:r>
      <w:r/>
    </w:p>
    <w:p>
      <w:pPr>
        <w:pStyle w:val="927"/>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五、竞争性谈判、磋商不见面交易注意事项</w:t>
      </w:r>
      <w:r/>
    </w:p>
    <w:p>
      <w:pPr>
        <w:pStyle w:val="927"/>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1.安装调试音视频设备。各供应商在投标前按照要求装好耳麦、摄像头等通讯工具。</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确保音视频畅通。竞争性谈判、磋商项目需要进行谈判、磋商程序，请各供应商在投标前按照要求对耳麦、摄像头等通讯工具进行最终调试，可以利用微信或qq等相关软件进行测试，确保在谈判、磋商过程可以正常进行。</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pStyle w:val="927"/>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六、供应商相关法律责任提醒</w:t>
      </w:r>
      <w:r/>
    </w:p>
    <w:p>
      <w:pPr>
        <w:pStyle w:val="927"/>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27"/>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27"/>
        <w:ind w:firstLine="641"/>
        <w:spacing w:beforeAutospacing="0" w:afterAutospacing="0" w:line="300" w:lineRule="auto"/>
        <w:rPr>
          <w:rFonts w:ascii="仿宋" w:hAnsi="仿宋" w:eastAsia="仿宋" w:cs="仿宋"/>
          <w:color w:val="auto"/>
          <w:highlight w:val="none"/>
          <w:shd w:val="clear" w:color="auto" w:fill="ffffff"/>
        </w:rPr>
        <w:sectPr>
          <w:headerReference w:type="default" r:id="rId12"/>
          <w:headerReference w:type="first" r:id="rId13"/>
          <w:footnotePr/>
          <w:endnotePr/>
          <w:type w:val="nextPage"/>
          <w:pgSz w:w="11906" w:h="16838" w:orient="portrait"/>
          <w:pgMar w:top="1215" w:right="1418" w:bottom="1400" w:left="1418" w:header="851" w:footer="992" w:gutter="0"/>
          <w:cols w:num="1" w:sep="0" w:space="720" w:equalWidth="1"/>
          <w:docGrid w:linePitch="360"/>
          <w:titlePg/>
        </w:sect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目        录</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竞争性磋商公告</w:t>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第一章  供应商须知</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第二章  磋商文件</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第三章  磋商响应价格范围、响应文件编制</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第四章  供应商应当提交的资格、资信证明文件</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第五章  响应截止时间、开标时间以及地点</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第六章  开标、磋商、中标以及废标</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第七章  签订合同、合同主要条款</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第八章  纪律和监督</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第九章  质疑与投诉</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第十章  交货和提供服务的时间</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第十一章  项目需求以及技术要求</w:t>
      </w:r>
      <w:r>
        <w:rPr>
          <w:rFonts w:hint="eastAsia" w:ascii="仿宋" w:hAnsi="仿宋" w:eastAsia="仿宋" w:cs="仿宋"/>
          <w:b/>
          <w:color w:val="auto"/>
          <w:sz w:val="30"/>
          <w:szCs w:val="30"/>
          <w:highlight w:val="none"/>
        </w:rPr>
        <w:tab/>
      </w:r>
      <w:r/>
    </w:p>
    <w:p>
      <w:pPr>
        <w:pStyle w:val="1156"/>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第十二章  评标办法</w:t>
      </w:r>
      <w:r>
        <w:rPr>
          <w:rFonts w:hint="eastAsia" w:ascii="仿宋" w:hAnsi="仿宋" w:eastAsia="仿宋" w:cs="仿宋"/>
          <w:b/>
          <w:color w:val="auto"/>
          <w:sz w:val="30"/>
          <w:szCs w:val="30"/>
          <w:highlight w:val="none"/>
        </w:rPr>
        <w:tab/>
      </w:r>
      <w:r/>
    </w:p>
    <w:p>
      <w:pP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第十三章  响应文件格式</w:t>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1104"/>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sectPr>
          <w:footnotePr/>
          <w:endnotePr/>
          <w:type w:val="nextPage"/>
          <w:pgSz w:w="11906" w:h="16838" w:orient="portrait"/>
          <w:pgMar w:top="1215" w:right="1418" w:bottom="1400" w:left="1418" w:header="851" w:footer="992" w:gutter="0"/>
          <w:cols w:num="1" w:sep="0" w:space="1701" w:equalWidth="1"/>
          <w:docGrid w:linePitch="360"/>
          <w:titlePg/>
        </w:sectPr>
      </w:pPr>
      <w:r/>
      <w:bookmarkStart w:id="2" w:name="_Toc28359001"/>
      <w:r/>
      <w:bookmarkStart w:id="3" w:name="_Toc35393789"/>
      <w:r/>
      <w:r/>
    </w:p>
    <w:p>
      <w:pPr>
        <w:pStyle w:val="1104"/>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pPr>
      <w:r>
        <w:rPr>
          <w:rFonts w:hint="eastAsia" w:ascii="仿宋" w:hAnsi="仿宋" w:eastAsia="仿宋" w:cs="仿宋"/>
          <w:bCs/>
          <w:color w:val="auto"/>
          <w:sz w:val="24"/>
          <w:szCs w:val="24"/>
          <w:highlight w:val="none"/>
          <w:lang w:val="en-GB" w:eastAsia="zh-CN"/>
        </w:rPr>
        <w:t xml:space="preserve">泰州市靖江滨江风光带区域特色自然和人文资源调查试点工作项目</w:t>
      </w:r>
      <w:r>
        <w:rPr>
          <w:rFonts w:hint="eastAsia" w:ascii="仿宋" w:hAnsi="仿宋" w:eastAsia="仿宋" w:cs="仿宋"/>
          <w:color w:val="auto"/>
          <w:sz w:val="24"/>
          <w:szCs w:val="24"/>
          <w:highlight w:val="none"/>
          <w:lang w:val="zh-CN"/>
        </w:rPr>
        <w:t xml:space="preserve">竞争性磋商</w:t>
      </w:r>
      <w:r>
        <w:rPr>
          <w:rFonts w:hint="eastAsia" w:ascii="仿宋" w:hAnsi="仿宋" w:eastAsia="仿宋" w:cs="仿宋"/>
          <w:color w:val="auto"/>
          <w:sz w:val="24"/>
          <w:szCs w:val="24"/>
          <w:highlight w:val="none"/>
        </w:rPr>
        <w:t xml:space="preserve">公告</w:t>
      </w:r>
      <w:bookmarkEnd w:id="2"/>
      <w:r/>
      <w:bookmarkEnd w:id="3"/>
      <w:r/>
      <w:r/>
    </w:p>
    <w:p>
      <w:pPr>
        <w:ind w:firstLine="480"/>
        <w:spacing w:line="300" w:lineRule="auto"/>
        <w:rPr>
          <w:rFonts w:ascii="仿宋" w:hAnsi="仿宋" w:eastAsia="仿宋" w:cs="仿宋"/>
          <w:color w:val="auto"/>
          <w:sz w:val="24"/>
          <w:highlight w:val="none"/>
          <w:lang w:val="zh-CN"/>
        </w:rPr>
        <w:pBdr>
          <w:top w:val="single" w:color="000000" w:sz="4" w:space="1"/>
          <w:left w:val="single" w:color="000000" w:sz="4" w:space="4"/>
          <w:bottom w:val="single" w:color="000000" w:sz="4" w:space="0"/>
          <w:right w:val="single" w:color="000000" w:sz="4" w:space="4"/>
        </w:pBdr>
      </w:pPr>
      <w:r/>
      <w:bookmarkStart w:id="4" w:name="OLE_LINK2"/>
      <w:r>
        <w:rPr>
          <w:rFonts w:hint="eastAsia" w:ascii="仿宋" w:hAnsi="仿宋" w:eastAsia="仿宋" w:cs="仿宋"/>
          <w:color w:val="auto"/>
          <w:sz w:val="24"/>
          <w:highlight w:val="none"/>
          <w:lang w:val="zh-CN"/>
        </w:rPr>
        <w:t xml:space="preserve">江苏澄建正达工程项目管理有限公司</w:t>
      </w:r>
      <w:r>
        <w:rPr>
          <w:rFonts w:hint="eastAsia" w:ascii="仿宋" w:hAnsi="仿宋" w:eastAsia="仿宋" w:cs="仿宋"/>
          <w:color w:val="auto"/>
          <w:sz w:val="24"/>
          <w:highlight w:val="none"/>
          <w:lang w:val="en-GB"/>
        </w:rPr>
        <w:t xml:space="preserve">受</w:t>
      </w:r>
      <w:r>
        <w:rPr>
          <w:rFonts w:hint="eastAsia" w:ascii="仿宋" w:hAnsi="仿宋" w:eastAsia="仿宋" w:cs="仿宋"/>
          <w:color w:val="auto"/>
          <w:sz w:val="24"/>
          <w:highlight w:val="none"/>
          <w:lang w:val="zh-CN"/>
        </w:rPr>
        <w:t xml:space="preserve">靖江市自然资源和规划局委托对</w:t>
      </w:r>
      <w:r>
        <w:rPr>
          <w:rFonts w:hint="eastAsia" w:ascii="仿宋" w:hAnsi="仿宋" w:eastAsia="仿宋" w:cs="仿宋"/>
          <w:bCs/>
          <w:color w:val="auto"/>
          <w:sz w:val="24"/>
          <w:highlight w:val="none"/>
          <w:lang w:val="en-GB" w:eastAsia="zh-CN"/>
        </w:rPr>
        <w:t xml:space="preserve">泰州市靖江滨江风光带区域特色自然和人文资源调查试点工作项目</w:t>
      </w:r>
      <w:r>
        <w:rPr>
          <w:rFonts w:hint="eastAsia" w:ascii="仿宋" w:hAnsi="仿宋" w:eastAsia="仿宋" w:cs="仿宋"/>
          <w:color w:val="auto"/>
          <w:sz w:val="24"/>
          <w:highlight w:val="none"/>
          <w:lang w:val="zh-CN"/>
        </w:rPr>
        <w:t xml:space="preserve">以竞争性磋商方式组织政府采购。本次项目的公告及有关变更信息在江苏政府采购网（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）发布，请潜在供应商及时关注网站信息。本项目的潜在供应商应江苏政府采购“苏采云”系统 (http: //jszfcgjsczt.cn/) 获取</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文件，并于202</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时</w:t>
      </w:r>
      <w:r>
        <w:rPr>
          <w:rFonts w:hint="eastAsia" w:ascii="仿宋" w:hAnsi="仿宋" w:eastAsia="仿宋" w:cs="仿宋"/>
          <w:color w:val="auto"/>
          <w:sz w:val="24"/>
          <w:highlight w:val="none"/>
        </w:rPr>
        <w:t xml:space="preserve">00</w:t>
      </w:r>
      <w:r>
        <w:rPr>
          <w:rFonts w:hint="eastAsia" w:ascii="仿宋" w:hAnsi="仿宋" w:eastAsia="仿宋" w:cs="仿宋"/>
          <w:color w:val="auto"/>
          <w:sz w:val="24"/>
          <w:highlight w:val="none"/>
          <w:lang w:val="zh-CN"/>
        </w:rPr>
        <w:t xml:space="preserve">分（北京时间）前递交响应文件（</w:t>
      </w:r>
      <w:r>
        <w:rPr>
          <w:rFonts w:hint="eastAsia" w:ascii="仿宋" w:hAnsi="仿宋" w:eastAsia="仿宋" w:cs="仿宋"/>
          <w:color w:val="auto"/>
          <w:sz w:val="24"/>
          <w:highlight w:val="none"/>
        </w:rPr>
        <w:t xml:space="preserve">线上</w:t>
      </w:r>
      <w:r>
        <w:rPr>
          <w:rFonts w:hint="eastAsia" w:ascii="仿宋" w:hAnsi="仿宋" w:eastAsia="仿宋" w:cs="仿宋"/>
          <w:color w:val="auto"/>
          <w:sz w:val="24"/>
          <w:highlight w:val="none"/>
          <w:lang w:val="zh-CN"/>
        </w:rPr>
        <w:t xml:space="preserve">）。</w:t>
      </w:r>
      <w:r/>
    </w:p>
    <w:p>
      <w:pPr>
        <w:pStyle w:val="1105"/>
        <w:numPr>
          <w:ilvl w:val="0"/>
          <w:numId w:val="6"/>
        </w:numPr>
        <w:ind w:firstLine="472"/>
        <w:spacing w:before="0" w:after="0" w:line="300" w:lineRule="auto"/>
        <w:rPr>
          <w:rFonts w:ascii="仿宋" w:hAnsi="仿宋" w:eastAsia="仿宋" w:cs="仿宋"/>
          <w:bCs w:val="0"/>
          <w:color w:val="auto"/>
          <w:sz w:val="24"/>
          <w:szCs w:val="24"/>
          <w:highlight w:val="none"/>
          <w:lang w:val="zh-CN"/>
        </w:rPr>
      </w:pPr>
      <w:r/>
      <w:bookmarkStart w:id="5" w:name="_Toc35393621"/>
      <w:r/>
      <w:bookmarkStart w:id="6" w:name="_Toc35393790"/>
      <w:r/>
      <w:bookmarkStart w:id="7" w:name="_Toc28359079"/>
      <w:r/>
      <w:bookmarkStart w:id="8" w:name="_Toc28359002"/>
      <w:r/>
      <w:bookmarkStart w:id="9" w:name="_Hlk24379207"/>
      <w:r>
        <w:rPr>
          <w:rFonts w:hint="eastAsia" w:ascii="仿宋" w:hAnsi="仿宋" w:eastAsia="仿宋" w:cs="仿宋"/>
          <w:bCs w:val="0"/>
          <w:color w:val="auto"/>
          <w:sz w:val="24"/>
          <w:szCs w:val="24"/>
          <w:highlight w:val="none"/>
          <w:lang w:val="zh-CN"/>
        </w:rPr>
        <w:t xml:space="preserve">项目基本情况</w:t>
      </w:r>
      <w:bookmarkEnd w:id="5"/>
      <w:r/>
      <w:bookmarkEnd w:id="6"/>
      <w:r/>
      <w:bookmarkEnd w:id="7"/>
      <w:r/>
      <w:bookmarkEnd w:id="8"/>
      <w:r/>
      <w:r/>
    </w:p>
    <w:p>
      <w:pPr>
        <w:numPr>
          <w:ilvl w:val="0"/>
          <w:numId w:val="7"/>
        </w:num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JSZC-321282-CJZD-C2025-0074</w:t>
      </w:r>
      <w:r/>
    </w:p>
    <w:p>
      <w:pPr>
        <w:numPr>
          <w:ilvl w:val="0"/>
          <w:numId w:val="7"/>
        </w:num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项目名称：</w:t>
      </w:r>
      <w:r>
        <w:rPr>
          <w:rFonts w:hint="eastAsia" w:ascii="仿宋" w:hAnsi="仿宋" w:eastAsia="仿宋" w:cs="仿宋"/>
          <w:bCs/>
          <w:color w:val="auto"/>
          <w:sz w:val="24"/>
          <w:highlight w:val="none"/>
          <w:lang w:val="en-GB" w:eastAsia="zh-CN"/>
        </w:rPr>
        <w:t xml:space="preserve">泰州市靖江滨江风光带区域特色自然和人文资源调查试点工作项目</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3、预算金额：</w:t>
      </w:r>
      <w:r>
        <w:rPr>
          <w:rFonts w:hint="eastAsia" w:ascii="仿宋" w:hAnsi="仿宋" w:eastAsia="仿宋" w:cs="仿宋"/>
          <w:bCs/>
          <w:color w:val="auto"/>
          <w:sz w:val="24"/>
          <w:highlight w:val="none"/>
        </w:rPr>
        <w:t xml:space="preserve">55</w:t>
      </w:r>
      <w:r>
        <w:rPr>
          <w:rFonts w:hint="eastAsia" w:ascii="仿宋" w:hAnsi="仿宋" w:eastAsia="仿宋" w:cs="仿宋"/>
          <w:bCs/>
          <w:color w:val="auto"/>
          <w:sz w:val="24"/>
          <w:highlight w:val="none"/>
          <w:lang w:val="zh-CN"/>
        </w:rPr>
        <w:t xml:space="preserve">万元</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bookmarkEnd w:id="9"/>
      <w:r>
        <w:rPr>
          <w:rFonts w:hint="eastAsia" w:ascii="仿宋" w:hAnsi="仿宋" w:eastAsia="仿宋" w:cs="仿宋"/>
          <w:bCs/>
          <w:color w:val="auto"/>
          <w:sz w:val="24"/>
          <w:highlight w:val="none"/>
          <w:lang w:val="en-GB" w:eastAsia="zh-CN"/>
        </w:rPr>
        <w:t xml:space="preserve">泰州市靖江滨江风光带区域特色自然和人文资源调查试点工作项目</w:t>
      </w:r>
      <w:r>
        <w:rPr>
          <w:rFonts w:hint="eastAsia" w:ascii="仿宋" w:hAnsi="仿宋" w:eastAsia="仿宋" w:cs="仿宋"/>
          <w:bCs/>
          <w:color w:val="auto"/>
          <w:sz w:val="24"/>
          <w:highlight w:val="none"/>
          <w:lang w:val="en-GB"/>
        </w:rPr>
        <w:t xml:space="preserve">，</w:t>
      </w:r>
      <w:r>
        <w:rPr>
          <w:rFonts w:hint="eastAsia" w:ascii="仿宋" w:hAnsi="仿宋" w:eastAsia="仿宋" w:cs="仿宋"/>
          <w:bCs/>
          <w:color w:val="auto"/>
          <w:sz w:val="24"/>
          <w:highlight w:val="none"/>
        </w:rPr>
        <w:t xml:space="preserve">详细采购需求见采购文件。</w:t>
      </w:r>
      <w:r/>
    </w:p>
    <w:p>
      <w:pPr>
        <w:pStyle w:val="1105"/>
        <w:ind w:firstLine="472"/>
        <w:spacing w:before="0" w:after="0" w:line="300" w:lineRule="auto"/>
        <w:rPr>
          <w:rFonts w:ascii="仿宋" w:hAnsi="仿宋" w:eastAsia="仿宋" w:cs="仿宋"/>
          <w:bCs w:val="0"/>
          <w:color w:val="auto"/>
          <w:sz w:val="24"/>
          <w:szCs w:val="24"/>
          <w:highlight w:val="none"/>
          <w:lang w:val="zh-CN"/>
        </w:rPr>
      </w:pPr>
      <w:r/>
      <w:bookmarkStart w:id="10" w:name="_Toc28359080"/>
      <w:r/>
      <w:bookmarkStart w:id="11" w:name="_Toc35393622"/>
      <w:r/>
      <w:bookmarkStart w:id="12" w:name="_Toc28359003"/>
      <w:r/>
      <w:bookmarkStart w:id="13" w:name="_Toc35393791"/>
      <w:r>
        <w:rPr>
          <w:rFonts w:hint="eastAsia" w:ascii="仿宋" w:hAnsi="仿宋" w:eastAsia="仿宋" w:cs="仿宋"/>
          <w:bCs w:val="0"/>
          <w:color w:val="auto"/>
          <w:sz w:val="24"/>
          <w:szCs w:val="24"/>
          <w:highlight w:val="none"/>
          <w:lang w:val="zh-CN"/>
        </w:rPr>
        <w:t xml:space="preserve">二、申请人的资格要求：</w:t>
      </w:r>
      <w:bookmarkEnd w:id="10"/>
      <w:r/>
      <w:bookmarkEnd w:id="11"/>
      <w:r/>
      <w:bookmarkEnd w:id="12"/>
      <w:r/>
      <w:bookmarkEnd w:id="13"/>
      <w:r/>
      <w:r/>
    </w:p>
    <w:p>
      <w:pPr>
        <w:ind w:firstLine="480"/>
        <w:spacing w:line="300" w:lineRule="auto"/>
        <w:rPr>
          <w:rFonts w:ascii="仿宋" w:hAnsi="仿宋" w:eastAsia="仿宋" w:cs="仿宋"/>
          <w:color w:val="auto"/>
          <w:sz w:val="24"/>
          <w:highlight w:val="none"/>
          <w:lang w:val="zh-CN"/>
        </w:rPr>
      </w:pPr>
      <w:r/>
      <w:bookmarkStart w:id="14" w:name="_Toc28359004"/>
      <w:r/>
      <w:bookmarkStart w:id="15" w:name="_Toc28359081"/>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pStyle w:val="1108"/>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未被列入</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zh-CN"/>
        </w:rPr>
        <w:t xml:space="preserve">信用中国</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zh-CN"/>
        </w:rPr>
        <w:t xml:space="preserve">网站</w:t>
      </w:r>
      <w:r>
        <w:rPr>
          <w:rFonts w:hint="eastAsia" w:ascii="仿宋" w:hAnsi="仿宋" w:eastAsia="仿宋" w:cs="仿宋"/>
          <w:bCs/>
          <w:color w:val="auto"/>
          <w:sz w:val="24"/>
          <w:highlight w:val="none"/>
        </w:rPr>
        <w:t xml:space="preserve">(www.creditchina.gov.cn)</w:t>
      </w:r>
      <w:r>
        <w:rPr>
          <w:rFonts w:hint="eastAsia" w:ascii="仿宋" w:hAnsi="仿宋" w:eastAsia="仿宋" w:cs="仿宋"/>
          <w:bCs/>
          <w:color w:val="auto"/>
          <w:sz w:val="24"/>
          <w:highlight w:val="none"/>
          <w:lang w:val="zh-CN"/>
        </w:rPr>
        <w:t xml:space="preserve">严重失信主体名单</w:t>
      </w: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zh-CN"/>
        </w:rPr>
        <w:t xml:space="preserve">未被列入中国政府采购网</w:t>
      </w:r>
      <w:r>
        <w:rPr>
          <w:rFonts w:hint="eastAsia" w:ascii="仿宋" w:hAnsi="仿宋" w:eastAsia="仿宋" w:cs="仿宋"/>
          <w:bCs/>
          <w:color w:val="auto"/>
          <w:sz w:val="24"/>
          <w:highlight w:val="none"/>
        </w:rPr>
        <w:t xml:space="preserve">(www.ccgp.gov.cn)</w:t>
      </w:r>
      <w:r>
        <w:rPr>
          <w:rFonts w:hint="eastAsia" w:ascii="仿宋" w:hAnsi="仿宋" w:eastAsia="仿宋" w:cs="仿宋"/>
          <w:bCs/>
          <w:color w:val="auto"/>
          <w:sz w:val="24"/>
          <w:highlight w:val="none"/>
          <w:lang w:val="zh-CN"/>
        </w:rPr>
        <w:t xml:space="preserve">政府采购严重违法失信行为记录名单的供应商</w:t>
      </w:r>
      <w:r>
        <w:rPr>
          <w:rFonts w:hint="eastAsia" w:ascii="仿宋" w:hAnsi="仿宋" w:eastAsia="仿宋" w:cs="仿宋"/>
          <w:bCs/>
          <w:color w:val="auto"/>
          <w:sz w:val="24"/>
          <w:highlight w:val="none"/>
        </w:rPr>
        <w:t xml:space="preserve">；</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落实政府采购政策需满足的要求：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注：本项目采购标的对应的中小企业划分标准所属行业为</w:t>
      </w:r>
      <w:r>
        <w:rPr>
          <w:rFonts w:hint="eastAsia" w:ascii="仿宋" w:hAnsi="仿宋" w:eastAsia="仿宋" w:cs="仿宋"/>
          <w:b/>
          <w:bCs/>
          <w:color w:val="auto"/>
          <w:sz w:val="24"/>
          <w:highlight w:val="none"/>
          <w:lang w:val="zh-CN"/>
        </w:rPr>
        <w:t xml:space="preserve">“</w:t>
      </w:r>
      <w:r>
        <w:rPr>
          <w:rFonts w:hint="eastAsia" w:ascii="仿宋" w:hAnsi="仿宋" w:eastAsia="仿宋" w:cs="仿宋"/>
          <w:color w:val="auto"/>
          <w:sz w:val="24"/>
          <w:highlight w:val="none"/>
          <w:lang w:val="zh-CN"/>
        </w:rPr>
        <w:t xml:space="preserve">其他未列明行业</w:t>
      </w:r>
      <w:r>
        <w:rPr>
          <w:rFonts w:hint="eastAsia" w:ascii="仿宋" w:hAnsi="仿宋" w:eastAsia="仿宋" w:cs="仿宋"/>
          <w:b/>
          <w:bCs/>
          <w:color w:val="auto"/>
          <w:sz w:val="24"/>
          <w:highlight w:val="none"/>
          <w:lang w:val="zh-CN"/>
        </w:rPr>
        <w:t xml:space="preserve">”</w:t>
      </w:r>
      <w:r>
        <w:rPr>
          <w:rFonts w:hint="eastAsia" w:ascii="仿宋" w:hAnsi="仿宋" w:eastAsia="仿宋" w:cs="仿宋"/>
          <w:color w:val="auto"/>
          <w:sz w:val="24"/>
          <w:highlight w:val="none"/>
          <w:lang w:val="zh-CN"/>
        </w:rPr>
        <w:t xml:space="preserve">。</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1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2财政部、民政部、中国残疾人联合会《关于促进残疾人就业政府采购政策的通知》（财库[2017]141号），财政部、司法部《关于政府采购支持监狱企业发展有关问题的通知》（财库[2014]68号）,本项目对符合条件的残疾人福利性单位、监狱企业给予10%的价格扣除</w:t>
      </w:r>
      <w:r>
        <w:rPr>
          <w:rFonts w:hint="eastAsia" w:ascii="仿宋" w:hAnsi="仿宋" w:eastAsia="仿宋" w:cs="仿宋"/>
          <w:color w:val="auto"/>
          <w:sz w:val="24"/>
          <w:highlight w:val="none"/>
        </w:rPr>
        <w:t xml:space="preserve">。</w:t>
      </w:r>
      <w:r/>
    </w:p>
    <w:p>
      <w:pPr>
        <w:pStyle w:val="1108"/>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w:t>
      </w:r>
      <w:r>
        <w:rPr>
          <w:rFonts w:hint="eastAsia" w:ascii="仿宋" w:hAnsi="仿宋" w:eastAsia="仿宋" w:cs="仿宋"/>
          <w:color w:val="auto"/>
          <w:sz w:val="24"/>
          <w:szCs w:val="24"/>
          <w:highlight w:val="none"/>
          <w:lang w:val="en-GB"/>
        </w:rPr>
        <w:t xml:space="preserve">若本项目采购产品涉及节能产品、环境标志产品，</w:t>
      </w:r>
      <w:r>
        <w:rPr>
          <w:rFonts w:hint="eastAsia" w:ascii="仿宋" w:hAnsi="仿宋" w:eastAsia="仿宋" w:cs="仿宋"/>
          <w:bCs/>
          <w:color w:val="auto"/>
          <w:sz w:val="24"/>
          <w:highlight w:val="none"/>
        </w:rPr>
        <w:t xml:space="preserve">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108"/>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r/>
    </w:p>
    <w:p>
      <w:pPr>
        <w:pStyle w:val="1108"/>
        <w:ind w:firstLine="480"/>
        <w:spacing w:line="300" w:lineRule="auto"/>
        <w:rPr>
          <w:rFonts w:ascii="仿宋" w:hAnsi="仿宋" w:eastAsia="仿宋" w:cs="仿宋"/>
          <w:color w:val="auto"/>
          <w:sz w:val="24"/>
          <w:highlight w:val="none"/>
        </w:rPr>
      </w:pPr>
      <w:r/>
      <w:bookmarkStart w:id="16" w:name="_Toc35393623"/>
      <w:r/>
      <w:bookmarkStart w:id="17" w:name="_Toc35393792"/>
      <w:r>
        <w:rPr>
          <w:rFonts w:hint="eastAsia" w:ascii="仿宋" w:hAnsi="仿宋" w:eastAsia="仿宋" w:cs="仿宋"/>
          <w:color w:val="auto"/>
          <w:sz w:val="24"/>
          <w:highlight w:val="none"/>
        </w:rPr>
        <w:t xml:space="preserve">6、供应商特定资格条件：具有测绘地理信息行政主管部门颁发的有效期内的</w:t>
      </w:r>
      <w:r>
        <w:rPr>
          <w:rFonts w:hint="eastAsia" w:ascii="仿宋" w:hAnsi="仿宋" w:eastAsia="仿宋" w:cs="仿宋"/>
          <w:color w:val="auto"/>
          <w:sz w:val="24"/>
          <w:highlight w:val="none"/>
          <w:lang w:val="en-US" w:eastAsia="zh-CN"/>
        </w:rPr>
        <w:t xml:space="preserve">乙</w:t>
      </w:r>
      <w:r>
        <w:rPr>
          <w:rFonts w:hint="eastAsia" w:ascii="仿宋" w:hAnsi="仿宋" w:eastAsia="仿宋" w:cs="仿宋"/>
          <w:color w:val="auto"/>
          <w:sz w:val="24"/>
          <w:highlight w:val="none"/>
        </w:rPr>
        <w:t xml:space="preserve">级测绘资质证书（专业类别需包括地理信息系统工程、地图编制）。如联合体中一方不具备该资质则不应涉及</w:t>
      </w:r>
      <w:r>
        <w:rPr>
          <w:rFonts w:hint="eastAsia" w:ascii="仿宋" w:hAnsi="仿宋" w:eastAsia="仿宋" w:cs="仿宋"/>
          <w:color w:val="auto"/>
          <w:sz w:val="24"/>
          <w:highlight w:val="none"/>
          <w:lang w:val="en-US" w:eastAsia="zh-CN"/>
        </w:rPr>
        <w:t xml:space="preserve">乙</w:t>
      </w:r>
      <w:r>
        <w:rPr>
          <w:rFonts w:hint="eastAsia" w:ascii="仿宋" w:hAnsi="仿宋" w:eastAsia="仿宋" w:cs="仿宋"/>
          <w:color w:val="auto"/>
          <w:sz w:val="24"/>
          <w:highlight w:val="none"/>
        </w:rPr>
        <w:t xml:space="preserve">级测绘资质相关工作内容，须提供联合体协议且明确双方各自承担的工作内容。</w:t>
      </w:r>
      <w:r/>
    </w:p>
    <w:p>
      <w:pPr>
        <w:pStyle w:val="1108"/>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本项目接受两个法人或者其他组织组成一个联合体。</w:t>
      </w:r>
      <w:r/>
    </w:p>
    <w:p>
      <w:pPr>
        <w:pStyle w:val="1105"/>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rPr>
        <w:t xml:space="preserve">三、</w:t>
      </w:r>
      <w:r>
        <w:rPr>
          <w:rFonts w:hint="eastAsia" w:ascii="仿宋" w:hAnsi="仿宋" w:eastAsia="仿宋" w:cs="仿宋"/>
          <w:bCs w:val="0"/>
          <w:color w:val="auto"/>
          <w:sz w:val="24"/>
          <w:szCs w:val="24"/>
          <w:highlight w:val="none"/>
          <w:lang w:val="zh-CN"/>
        </w:rPr>
        <w:t xml:space="preserve">获取磋商文件</w:t>
      </w:r>
      <w:bookmarkEnd w:id="14"/>
      <w:r/>
      <w:bookmarkEnd w:id="15"/>
      <w:r/>
      <w:bookmarkEnd w:id="16"/>
      <w:r/>
      <w:bookmarkEnd w:id="17"/>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1、时间：</w:t>
      </w:r>
      <w:r>
        <w:rPr>
          <w:rFonts w:hint="eastAsia" w:ascii="仿宋" w:hAnsi="仿宋" w:eastAsia="仿宋" w:cs="仿宋"/>
          <w:color w:val="auto"/>
          <w:sz w:val="24"/>
          <w:highlight w:val="none"/>
          <w:u w:val="single"/>
          <w:lang w:val="zh-CN"/>
        </w:rPr>
        <w:t xml:space="preserve">202</w:t>
      </w:r>
      <w:r>
        <w:rPr>
          <w:rFonts w:hint="eastAsia" w:ascii="仿宋" w:hAnsi="仿宋" w:eastAsia="仿宋" w:cs="仿宋"/>
          <w:color w:val="auto"/>
          <w:sz w:val="24"/>
          <w:highlight w:val="none"/>
          <w:u w:val="single"/>
        </w:rPr>
        <w:t xml:space="preserve">5</w:t>
      </w:r>
      <w:r>
        <w:rPr>
          <w:rFonts w:hint="eastAsia" w:ascii="仿宋" w:hAnsi="仿宋" w:eastAsia="仿宋" w:cs="仿宋"/>
          <w:color w:val="auto"/>
          <w:sz w:val="24"/>
          <w:highlight w:val="none"/>
          <w:u w:val="single"/>
          <w:lang w:val="zh-CN"/>
        </w:rPr>
        <w:t xml:space="preserve">年</w:t>
      </w:r>
      <w:r>
        <w:rPr>
          <w:rFonts w:hint="eastAsia" w:ascii="仿宋" w:hAnsi="仿宋" w:eastAsia="仿宋" w:cs="仿宋"/>
          <w:color w:val="auto"/>
          <w:sz w:val="24"/>
          <w:highlight w:val="none"/>
          <w:u w:val="single"/>
          <w:lang w:val="en-US" w:eastAsia="zh-CN"/>
        </w:rPr>
        <w:t xml:space="preserve">10</w:t>
      </w:r>
      <w:r>
        <w:rPr>
          <w:rFonts w:hint="eastAsia" w:ascii="仿宋" w:hAnsi="仿宋" w:eastAsia="仿宋" w:cs="仿宋"/>
          <w:color w:val="auto"/>
          <w:sz w:val="24"/>
          <w:highlight w:val="none"/>
          <w:u w:val="single"/>
          <w:lang w:val="zh-CN"/>
        </w:rPr>
        <w:t xml:space="preserve">月</w:t>
      </w:r>
      <w:r>
        <w:rPr>
          <w:rFonts w:hint="eastAsia" w:ascii="仿宋" w:hAnsi="仿宋" w:eastAsia="仿宋" w:cs="仿宋"/>
          <w:color w:val="auto"/>
          <w:sz w:val="24"/>
          <w:highlight w:val="none"/>
          <w:u w:val="single"/>
          <w:lang w:val="en-US" w:eastAsia="zh-CN"/>
        </w:rPr>
        <w:t xml:space="preserve">31</w:t>
      </w:r>
      <w:r>
        <w:rPr>
          <w:rFonts w:hint="eastAsia" w:ascii="仿宋" w:hAnsi="仿宋" w:eastAsia="仿宋" w:cs="仿宋"/>
          <w:color w:val="auto"/>
          <w:sz w:val="24"/>
          <w:highlight w:val="none"/>
          <w:u w:val="single"/>
          <w:lang w:val="zh-CN"/>
        </w:rPr>
        <w:t xml:space="preserve">日</w:t>
      </w:r>
      <w:r>
        <w:rPr>
          <w:rFonts w:hint="eastAsia" w:ascii="仿宋" w:hAnsi="仿宋" w:eastAsia="仿宋" w:cs="仿宋"/>
          <w:color w:val="auto"/>
          <w:sz w:val="24"/>
          <w:highlight w:val="none"/>
          <w:lang w:val="zh-CN"/>
        </w:rPr>
        <w:t xml:space="preserve">起至</w:t>
      </w:r>
      <w:r>
        <w:rPr>
          <w:rFonts w:hint="eastAsia" w:ascii="仿宋" w:hAnsi="仿宋" w:eastAsia="仿宋" w:cs="仿宋"/>
          <w:color w:val="auto"/>
          <w:sz w:val="24"/>
          <w:highlight w:val="none"/>
          <w:u w:val="single"/>
          <w:lang w:val="zh-CN"/>
        </w:rPr>
        <w:t xml:space="preserve">202</w:t>
      </w:r>
      <w:r>
        <w:rPr>
          <w:rFonts w:hint="eastAsia" w:ascii="仿宋" w:hAnsi="仿宋" w:eastAsia="仿宋" w:cs="仿宋"/>
          <w:color w:val="auto"/>
          <w:sz w:val="24"/>
          <w:highlight w:val="none"/>
          <w:u w:val="single"/>
        </w:rPr>
        <w:t xml:space="preserve">5</w:t>
      </w:r>
      <w:r>
        <w:rPr>
          <w:rFonts w:hint="eastAsia" w:ascii="仿宋" w:hAnsi="仿宋" w:eastAsia="仿宋" w:cs="仿宋"/>
          <w:color w:val="auto"/>
          <w:sz w:val="24"/>
          <w:highlight w:val="none"/>
          <w:u w:val="single"/>
          <w:lang w:val="zh-CN"/>
        </w:rPr>
        <w:t xml:space="preserve">年</w:t>
      </w:r>
      <w:r>
        <w:rPr>
          <w:rFonts w:hint="eastAsia" w:ascii="仿宋" w:hAnsi="仿宋" w:eastAsia="仿宋" w:cs="仿宋"/>
          <w:color w:val="auto"/>
          <w:sz w:val="24"/>
          <w:highlight w:val="none"/>
          <w:u w:val="single"/>
          <w:lang w:val="en-US" w:eastAsia="zh-CN"/>
        </w:rPr>
        <w:t xml:space="preserve">11</w:t>
      </w:r>
      <w:r>
        <w:rPr>
          <w:rFonts w:hint="eastAsia" w:ascii="仿宋" w:hAnsi="仿宋" w:eastAsia="仿宋" w:cs="仿宋"/>
          <w:color w:val="auto"/>
          <w:sz w:val="24"/>
          <w:highlight w:val="none"/>
          <w:u w:val="single"/>
          <w:lang w:val="zh-CN"/>
        </w:rPr>
        <w:t xml:space="preserve">月</w:t>
      </w:r>
      <w:r>
        <w:rPr>
          <w:rFonts w:hint="eastAsia" w:ascii="仿宋" w:hAnsi="仿宋" w:eastAsia="仿宋" w:cs="仿宋"/>
          <w:color w:val="auto"/>
          <w:sz w:val="24"/>
          <w:highlight w:val="none"/>
          <w:u w:val="single"/>
          <w:lang w:val="en-US" w:eastAsia="zh-CN"/>
        </w:rPr>
        <w:t xml:space="preserve">6</w:t>
      </w:r>
      <w:r>
        <w:rPr>
          <w:rFonts w:hint="eastAsia" w:ascii="仿宋" w:hAnsi="仿宋" w:eastAsia="仿宋" w:cs="仿宋"/>
          <w:color w:val="auto"/>
          <w:sz w:val="24"/>
          <w:highlight w:val="none"/>
          <w:u w:val="single"/>
          <w:lang w:val="zh-CN"/>
        </w:rPr>
        <w:t xml:space="preserve">日</w:t>
      </w:r>
      <w:r>
        <w:rPr>
          <w:rFonts w:hint="eastAsia" w:ascii="仿宋" w:hAnsi="仿宋" w:eastAsia="仿宋" w:cs="仿宋"/>
          <w:color w:val="auto"/>
          <w:sz w:val="24"/>
          <w:highlight w:val="none"/>
          <w:lang w:val="zh-CN"/>
        </w:rPr>
        <w:t xml:space="preserve">；</w:t>
      </w:r>
      <w:bookmarkStart w:id="18" w:name="_Toc28359082"/>
      <w:r/>
      <w:bookmarkStart w:id="19" w:name="_Toc28359005"/>
      <w:r/>
      <w:bookmarkStart w:id="20" w:name="_Toc35393793"/>
      <w:r/>
      <w:bookmarkStart w:id="21" w:name="_Toc35393624"/>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2、地点：供应商完成注册并办理CA证书登录“苏采云系统”，免费下载本项目磋商文件。</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4、潜在供应商访问政府采购云平台“苏采云”系统的网络地址和方式：</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供应商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（2）潜在供应商访问“苏采云”系统的网络地址和方法：“苏采云”系统的网址：http://jszfcg.jsczt.cn/，点击“苏采云”进入系统。</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（5）招标代理机构（采购代理机构）将数据电文形式的招标文件加载至“苏采云”系统，供潜在供应商下载或者查阅。</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105"/>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 xml:space="preserve">四、提交响应文件</w:t>
      </w:r>
      <w:bookmarkEnd w:id="18"/>
      <w:r/>
      <w:bookmarkEnd w:id="19"/>
      <w:r>
        <w:rPr>
          <w:rFonts w:hint="eastAsia" w:ascii="仿宋" w:hAnsi="仿宋" w:eastAsia="仿宋" w:cs="仿宋"/>
          <w:bCs w:val="0"/>
          <w:color w:val="auto"/>
          <w:sz w:val="24"/>
          <w:szCs w:val="24"/>
          <w:highlight w:val="none"/>
          <w:lang w:val="zh-CN"/>
        </w:rPr>
        <w:t xml:space="preserve">截止时间、开标时间和地点</w:t>
      </w:r>
      <w:bookmarkEnd w:id="20"/>
      <w:r/>
      <w:bookmarkEnd w:id="21"/>
      <w:r/>
      <w:r/>
    </w:p>
    <w:p>
      <w:pPr>
        <w:ind w:firstLine="480"/>
        <w:spacing w:line="300" w:lineRule="auto"/>
        <w:rPr>
          <w:rFonts w:ascii="仿宋" w:hAnsi="仿宋" w:eastAsia="仿宋" w:cs="仿宋"/>
          <w:color w:val="auto"/>
          <w:sz w:val="24"/>
          <w:highlight w:val="none"/>
          <w:lang w:val="zh-CN"/>
        </w:rPr>
      </w:pPr>
      <w:r/>
      <w:bookmarkStart w:id="22" w:name="_Toc28359007"/>
      <w:r/>
      <w:bookmarkStart w:id="23" w:name="_Toc35393794"/>
      <w:r/>
      <w:bookmarkStart w:id="24" w:name="_Toc35393625"/>
      <w:r/>
      <w:bookmarkStart w:id="25" w:name="_Toc28359084"/>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开标时间：20</w:t>
      </w: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年</w:t>
      </w: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zh-CN"/>
        </w:rPr>
        <w:t xml:space="preserve">月</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lang w:val="zh-CN"/>
        </w:rPr>
        <w:t xml:space="preserve">日</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时</w:t>
      </w:r>
      <w:r>
        <w:rPr>
          <w:rFonts w:hint="eastAsia" w:ascii="仿宋" w:hAnsi="仿宋" w:eastAsia="仿宋" w:cs="仿宋"/>
          <w:color w:val="auto"/>
          <w:sz w:val="24"/>
          <w:highlight w:val="none"/>
        </w:rPr>
        <w:t xml:space="preserve">00</w:t>
      </w:r>
      <w:r>
        <w:rPr>
          <w:rFonts w:hint="eastAsia" w:ascii="仿宋" w:hAnsi="仿宋" w:eastAsia="仿宋" w:cs="仿宋"/>
          <w:color w:val="auto"/>
          <w:sz w:val="24"/>
          <w:highlight w:val="none"/>
          <w:lang w:val="zh-CN"/>
        </w:rPr>
        <w:t xml:space="preserve">分（北京时间）；</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http://jszfcg.jsczt.cn/)“开标大厅”，点击“苏采云”进入系统“开标大厅”；</w:t>
      </w:r>
      <w:bookmarkEnd w:id="22"/>
      <w:r/>
      <w:bookmarkEnd w:id="23"/>
      <w:r/>
      <w:bookmarkEnd w:id="24"/>
      <w:r/>
      <w:bookmarkEnd w:id="25"/>
      <w:r/>
      <w:r/>
    </w:p>
    <w:p>
      <w:pPr>
        <w:ind w:firstLine="480"/>
        <w:spacing w:line="300" w:lineRule="auto"/>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108"/>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r/>
    </w:p>
    <w:p>
      <w:pPr>
        <w:pStyle w:val="1108"/>
        <w:ind w:firstLine="480"/>
        <w:spacing w:line="300" w:lineRule="auto"/>
        <w:rPr>
          <w:rFonts w:ascii="仿宋" w:hAnsi="仿宋" w:eastAsia="仿宋"/>
          <w:color w:val="auto"/>
          <w:sz w:val="24"/>
          <w:highlight w:val="none"/>
          <w:lang w:val="zh-CN"/>
        </w:rPr>
      </w:pPr>
      <w:r/>
      <w:bookmarkStart w:id="26" w:name="_Toc35393795"/>
      <w:r/>
      <w:bookmarkStart w:id="27" w:name="_Toc35393626"/>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5</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10</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31</w:t>
      </w:r>
      <w:r>
        <w:rPr>
          <w:rFonts w:ascii="仿宋" w:hAnsi="仿宋" w:eastAsia="仿宋"/>
          <w:color w:val="auto"/>
          <w:sz w:val="24"/>
          <w:highlight w:val="none"/>
          <w:lang w:val="zh-CN"/>
        </w:rPr>
        <w:t xml:space="preserve">日起至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5</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11</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1112"/>
        <w:ind w:firstLine="482"/>
        <w:spacing w:before="0" w:after="0" w:line="300" w:lineRule="auto"/>
        <w:rPr>
          <w:rFonts w:ascii="仿宋" w:hAnsi="仿宋" w:eastAsia="仿宋"/>
          <w:bCs w:val="0"/>
          <w:color w:val="auto"/>
          <w:sz w:val="24"/>
          <w:szCs w:val="24"/>
          <w:highlight w:val="none"/>
          <w:lang w:val="zh-CN"/>
        </w:rPr>
      </w:pPr>
      <w:r>
        <w:rPr>
          <w:rFonts w:hint="eastAsia" w:ascii="仿宋" w:hAnsi="仿宋" w:eastAsia="仿宋"/>
          <w:bCs w:val="0"/>
          <w:color w:val="auto"/>
          <w:sz w:val="24"/>
          <w:szCs w:val="24"/>
          <w:highlight w:val="none"/>
        </w:rPr>
        <w:t xml:space="preserve">六、</w:t>
      </w:r>
      <w:r>
        <w:rPr>
          <w:rFonts w:ascii="仿宋" w:hAnsi="仿宋" w:eastAsia="仿宋"/>
          <w:bCs w:val="0"/>
          <w:color w:val="auto"/>
          <w:sz w:val="24"/>
          <w:szCs w:val="24"/>
          <w:highlight w:val="none"/>
          <w:lang w:val="zh-CN"/>
        </w:rPr>
        <w:t xml:space="preserve">其他补充事宜</w:t>
      </w:r>
      <w:bookmarkEnd w:id="26"/>
      <w:r/>
      <w:bookmarkEnd w:id="27"/>
      <w:r/>
      <w:r/>
    </w:p>
    <w:p>
      <w:pPr>
        <w:pStyle w:val="1108"/>
        <w:ind w:firstLine="480"/>
        <w:spacing w:line="300" w:lineRule="auto"/>
        <w:rPr>
          <w:color w:val="auto"/>
          <w:highlight w:val="none"/>
        </w:rPr>
      </w:pPr>
      <w:r>
        <w:rPr>
          <w:rFonts w:hint="eastAsia" w:ascii="仿宋" w:hAnsi="仿宋" w:eastAsia="仿宋"/>
          <w:color w:val="auto"/>
          <w:sz w:val="24"/>
          <w:highlight w:val="none"/>
        </w:rPr>
        <w:t xml:space="preserve">1、开标时供应商须在规定时间内进行响应文件解密，报价确认；</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2、评审中供应商应随时关注电脑，需依据电脑提示进行磋商并及时进行二次或最终报价；</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3、如有任何疑问，请拨打电子化政府采购技术支持电话：0523-86897512。</w:t>
      </w:r>
      <w:r/>
    </w:p>
    <w:p>
      <w:pPr>
        <w:ind w:firstLine="482"/>
        <w:rPr>
          <w:rFonts w:ascii="仿宋" w:hAnsi="仿宋" w:eastAsia="仿宋" w:cs="仿宋"/>
          <w:b/>
          <w:color w:val="auto"/>
          <w:sz w:val="24"/>
          <w:highlight w:val="none"/>
          <w:lang w:val="zh-CN"/>
        </w:rPr>
      </w:pPr>
      <w:r/>
      <w:bookmarkStart w:id="28" w:name="_Toc35393627"/>
      <w:r/>
      <w:bookmarkStart w:id="29" w:name="_Toc28359085"/>
      <w:r/>
      <w:bookmarkStart w:id="30" w:name="_Toc28359008"/>
      <w:r/>
      <w:bookmarkStart w:id="31" w:name="_Toc35393796"/>
      <w:r>
        <w:rPr>
          <w:rFonts w:hint="eastAsia" w:ascii="仿宋" w:hAnsi="仿宋" w:eastAsia="仿宋" w:cs="仿宋"/>
          <w:b/>
          <w:color w:val="auto"/>
          <w:sz w:val="24"/>
          <w:highlight w:val="none"/>
        </w:rPr>
        <w:t xml:space="preserve">七</w:t>
      </w:r>
      <w:r>
        <w:rPr>
          <w:rFonts w:hint="eastAsia" w:ascii="仿宋" w:hAnsi="仿宋" w:eastAsia="仿宋" w:cs="仿宋"/>
          <w:b/>
          <w:color w:val="auto"/>
          <w:sz w:val="24"/>
          <w:highlight w:val="none"/>
          <w:lang w:val="zh-CN"/>
        </w:rPr>
        <w:t xml:space="preserve">、对本次磋商提出询问，请按以下方式联系</w:t>
      </w:r>
      <w:bookmarkEnd w:id="28"/>
      <w:r/>
      <w:bookmarkEnd w:id="29"/>
      <w:r/>
      <w:bookmarkEnd w:id="30"/>
      <w:r/>
      <w:bookmarkEnd w:id="31"/>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1.采购人信息</w:t>
      </w:r>
      <w:r/>
    </w:p>
    <w:p>
      <w:pPr>
        <w:ind w:firstLine="480"/>
        <w:spacing w:line="300" w:lineRule="auto"/>
        <w:rPr>
          <w:rFonts w:ascii="仿宋" w:hAnsi="仿宋" w:eastAsia="仿宋" w:cs="仿宋"/>
          <w:color w:val="auto"/>
          <w:sz w:val="24"/>
          <w:highlight w:val="none"/>
          <w:lang w:val="zh-CN"/>
        </w:rPr>
      </w:pPr>
      <w:r/>
      <w:bookmarkStart w:id="32" w:name="_Toc28359086"/>
      <w:r/>
      <w:bookmarkStart w:id="33" w:name="_Toc28359009"/>
      <w:r>
        <w:rPr>
          <w:rFonts w:hint="eastAsia" w:ascii="仿宋" w:hAnsi="仿宋" w:eastAsia="仿宋" w:cs="仿宋"/>
          <w:color w:val="auto"/>
          <w:sz w:val="24"/>
          <w:highlight w:val="none"/>
          <w:lang w:val="zh-CN"/>
        </w:rPr>
        <w:t xml:space="preserve">名     称：靖江市自然资源和规划局</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地     址：</w:t>
      </w:r>
      <w:r>
        <w:rPr>
          <w:rFonts w:hint="eastAsia" w:ascii="仿宋" w:hAnsi="仿宋" w:eastAsia="仿宋" w:cs="仿宋"/>
          <w:color w:val="auto"/>
          <w:sz w:val="24"/>
          <w:highlight w:val="none"/>
        </w:rPr>
        <w:t xml:space="preserve">靖江市阳光大道12号</w:t>
      </w:r>
      <w:r/>
    </w:p>
    <w:p>
      <w:pPr>
        <w:ind w:firstLine="480"/>
        <w:spacing w:line="300" w:lineRule="auto"/>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zh-CN"/>
        </w:rPr>
        <w:t xml:space="preserve">联 系  人：</w:t>
      </w:r>
      <w:r>
        <w:rPr>
          <w:rFonts w:hint="eastAsia" w:ascii="仿宋" w:hAnsi="仿宋" w:eastAsia="仿宋" w:cs="仿宋"/>
          <w:color w:val="auto"/>
          <w:sz w:val="24"/>
          <w:highlight w:val="none"/>
          <w:lang w:eastAsia="zh-CN"/>
        </w:rPr>
        <w:t xml:space="preserve">申女士</w:t>
      </w:r>
      <w:r/>
    </w:p>
    <w:p>
      <w:pPr>
        <w:ind w:firstLine="48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lang w:val="zh-CN"/>
        </w:rPr>
        <w:t xml:space="preserve">联系 方式</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0523-81160126</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.采购代理机构信息</w:t>
      </w:r>
      <w:bookmarkEnd w:id="32"/>
      <w:r/>
      <w:bookmarkEnd w:id="33"/>
      <w:r/>
      <w:r/>
    </w:p>
    <w:p>
      <w:pPr>
        <w:pStyle w:val="1108"/>
        <w:ind w:firstLine="480"/>
        <w:spacing w:line="300" w:lineRule="auto"/>
        <w:rPr>
          <w:rFonts w:ascii="仿宋" w:hAnsi="仿宋" w:eastAsia="仿宋"/>
          <w:color w:val="auto"/>
          <w:sz w:val="24"/>
          <w:highlight w:val="none"/>
          <w:lang w:val="zh-CN"/>
        </w:rPr>
      </w:pPr>
      <w:r/>
      <w:bookmarkStart w:id="34" w:name="_Toc28359087"/>
      <w:r/>
      <w:bookmarkStart w:id="35" w:name="_Toc28359010"/>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江苏澄建正达工程项目管理有限公司</w:t>
      </w:r>
      <w:r/>
    </w:p>
    <w:p>
      <w:pPr>
        <w:pStyle w:val="110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w:t>
      </w:r>
      <w:r/>
    </w:p>
    <w:p>
      <w:pPr>
        <w:pStyle w:val="110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联系方式：0523-8</w:t>
      </w:r>
      <w:bookmarkEnd w:id="4"/>
      <w:r/>
      <w:bookmarkEnd w:id="34"/>
      <w:r/>
      <w:bookmarkEnd w:id="35"/>
      <w:r>
        <w:rPr>
          <w:rFonts w:hint="eastAsia" w:ascii="仿宋" w:hAnsi="仿宋" w:eastAsia="仿宋"/>
          <w:color w:val="auto"/>
          <w:sz w:val="24"/>
          <w:highlight w:val="none"/>
        </w:rPr>
        <w:t xml:space="preserve">5198899</w:t>
      </w:r>
      <w:r/>
    </w:p>
    <w:p>
      <w:pPr>
        <w:rPr>
          <w:color w:val="auto"/>
          <w:highlight w:val="none"/>
        </w:rPr>
      </w:pPr>
      <w:r/>
      <w:bookmarkStart w:id="36" w:name="_Toc302967369"/>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602"/>
        <w:jc w:val="center"/>
        <w:spacing w:line="36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第一章  供应商须知</w:t>
      </w:r>
      <w:bookmarkEnd w:id="36"/>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供应商应仔细阅读本磋商文件的所有内容（包括答疑、补充、澄清以及修改等），按照磋商文件要求以及格式编制响应文件，并保证其真实性，否则其一切后果自负。</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次政府采购方式为竞争性磋商是指采购人、代理机构通过组建竞争性磋商小组与符合条件的供应商就采购货物、工程和服务事宜进行磋商。通过竞争性磋商的供应商按照磋商文件的要求提交响应文件，采购人从磋商小组评审后提出的候选供应商名单中确定成交供应商的采购方式。</w:t>
      </w:r>
      <w:r/>
    </w:p>
    <w:p>
      <w:pPr>
        <w:ind w:firstLine="562"/>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1.供应商须知前附表</w:t>
      </w:r>
      <w:r/>
    </w:p>
    <w:tbl>
      <w:tblPr>
        <w:tblStyle w:val="903"/>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Pr>
        <w:tc>
          <w:tcPr>
            <w:tcW w:w="825"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bookmarkStart w:id="37" w:name="_Toc302967372"/>
            <w:r>
              <w:rPr>
                <w:rFonts w:hint="eastAsia" w:ascii="仿宋" w:hAnsi="仿宋" w:eastAsia="仿宋" w:cs="仿宋"/>
                <w:b/>
                <w:color w:val="auto"/>
                <w:sz w:val="24"/>
                <w:highlight w:val="none"/>
                <w:lang w:val="zh-CN"/>
              </w:rPr>
              <w:t xml:space="preserve">序号</w:t>
            </w:r>
            <w:r/>
          </w:p>
        </w:tc>
        <w:tc>
          <w:tcPr>
            <w:tcW w:w="1803"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条款名称</w:t>
            </w:r>
            <w:r/>
          </w:p>
        </w:tc>
        <w:tc>
          <w:tcPr>
            <w:tcW w:w="6641"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内容与要求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适用范围</w:t>
            </w:r>
            <w:r/>
          </w:p>
        </w:tc>
        <w:tc>
          <w:tcPr>
            <w:tcW w:w="6641" w:type="dxa"/>
            <w:vAlign w:val="bottom"/>
            <w:textDirection w:val="lrTb"/>
            <w:noWrap/>
          </w:tcPr>
          <w:p>
            <w:pPr>
              <w:numPr>
                <w:numId w:val="0"/>
              </w:numPr>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JSZC-321282-CJZD-C2025-0074</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项目名称：</w:t>
            </w:r>
            <w:bookmarkEnd w:id="37"/>
            <w:r>
              <w:rPr>
                <w:rFonts w:hint="eastAsia" w:ascii="仿宋" w:hAnsi="仿宋" w:eastAsia="仿宋" w:cs="仿宋"/>
                <w:color w:val="auto"/>
                <w:sz w:val="24"/>
                <w:highlight w:val="none"/>
                <w:lang w:val="zh-CN"/>
              </w:rPr>
              <w:t xml:space="preserve">泰州市靖江滨江风光带区域特色自然和人文资源调查试点工作项目</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招标方式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公开招标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邀请招标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竞争性谈判</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询价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单一来源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竞争性磋商</w:t>
            </w:r>
            <w:r/>
          </w:p>
          <w:p>
            <w:pPr>
              <w:rPr>
                <w:rFonts w:ascii="仿宋" w:hAnsi="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框架协议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其他：</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w:t>
            </w:r>
            <w:r/>
          </w:p>
        </w:tc>
        <w:tc>
          <w:tcPr>
            <w:tcW w:w="6641" w:type="dxa"/>
            <w:vAlign w:val="center"/>
            <w:textDirection w:val="lrTb"/>
            <w:noWrap/>
          </w:tcPr>
          <w:p>
            <w:pPr>
              <w:pStyle w:val="1108"/>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江苏澄建正达工程项目管理有限公司</w:t>
            </w:r>
            <w:r/>
          </w:p>
          <w:p>
            <w:pPr>
              <w:pStyle w:val="1108"/>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w:t>
            </w:r>
            <w:r/>
          </w:p>
          <w:p>
            <w:pP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电    话：0523-8</w:t>
            </w:r>
            <w:r>
              <w:rPr>
                <w:rFonts w:hint="eastAsia" w:ascii="仿宋" w:hAnsi="仿宋" w:eastAsia="仿宋"/>
                <w:color w:val="auto"/>
                <w:sz w:val="24"/>
                <w:highlight w:val="none"/>
              </w:rPr>
              <w:t xml:space="preserve">5198899</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评审办法</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综合评分法</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最低评标价法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资格要求</w:t>
            </w:r>
            <w:r/>
          </w:p>
        </w:tc>
        <w:tc>
          <w:tcPr>
            <w:tcW w:w="6641" w:type="dxa"/>
            <w:vAlign w:val="center"/>
            <w:textDirection w:val="lrTb"/>
            <w:noWrap/>
          </w:tcPr>
          <w:p>
            <w:pPr>
              <w:pStyle w:val="1255"/>
              <w:spacing w:before="0" w:beforeAutospacing="0" w:after="0" w:afterAutospacing="0"/>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见网上公告要求。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是否接受联合体响应</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cs="MS Mincho"/>
                <w:color w:val="auto"/>
                <w:sz w:val="24"/>
                <w:highlight w:val="none"/>
              </w:rPr>
              <w:t xml:space="preserve">□</w:t>
            </w:r>
            <w:r>
              <w:rPr>
                <w:rFonts w:hint="eastAsia" w:ascii="仿宋" w:hAnsi="仿宋" w:eastAsia="仿宋" w:cs="仿宋"/>
                <w:color w:val="auto"/>
                <w:sz w:val="24"/>
                <w:highlight w:val="none"/>
              </w:rPr>
              <w:t xml:space="preserve">不接受</w:t>
            </w:r>
            <w:r/>
          </w:p>
          <w:p>
            <w:pPr>
              <w:rPr>
                <w:rFonts w:ascii="仿宋" w:hAnsi="仿宋" w:eastAsia="仿宋" w:cs="仿宋"/>
                <w:color w:val="auto"/>
                <w:sz w:val="24"/>
                <w:highlight w:val="none"/>
                <w:lang w:val="zh-CN"/>
              </w:rPr>
            </w:pPr>
            <w:r>
              <w:rPr>
                <w:rFonts w:ascii="MS Mincho" w:hAnsi="MS Mincho" w:cs="MS Mincho"/>
                <w:color w:val="auto"/>
                <w:sz w:val="24"/>
                <w:highlight w:val="none"/>
              </w:rPr>
              <w:t xml:space="preserve">☑</w:t>
            </w:r>
            <w:r>
              <w:rPr>
                <w:rFonts w:hint="eastAsia" w:ascii="仿宋" w:hAnsi="仿宋" w:eastAsia="仿宋" w:cs="仿宋"/>
                <w:color w:val="auto"/>
                <w:sz w:val="24"/>
                <w:highlight w:val="none"/>
              </w:rPr>
              <w:t xml:space="preserve">接  受，应满</w:t>
            </w:r>
            <w:r>
              <w:rPr>
                <w:rFonts w:hint="eastAsia" w:ascii="仿宋" w:hAnsi="仿宋" w:eastAsia="仿宋" w:cs="仿宋"/>
                <w:color w:val="auto"/>
                <w:sz w:val="24"/>
                <w:highlight w:val="none"/>
                <w:lang w:val="zh-CN"/>
              </w:rPr>
              <w:t xml:space="preserve">足下列要求：</w:t>
            </w:r>
            <w:r>
              <w:rPr>
                <w:rFonts w:hint="eastAsia" w:ascii="仿宋" w:hAnsi="仿宋" w:eastAsia="仿宋" w:cs="仿宋"/>
                <w:color w:val="auto"/>
                <w:sz w:val="24"/>
                <w:highlight w:val="none"/>
                <w:lang w:val="zh-CN"/>
              </w:rPr>
              <w:t xml:space="preserve">本项目接受两个法人或者其他组织组成一个联合体。</w:t>
            </w:r>
            <w:r/>
          </w:p>
        </w:tc>
      </w:tr>
      <w:tr>
        <w:trPr>
          <w:jc w:val="center"/>
          <w:trHeight w:val="94"/>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w:t>
            </w:r>
            <w:r>
              <w:rPr>
                <w:rFonts w:hint="eastAsia" w:ascii="仿宋" w:hAnsi="仿宋" w:eastAsia="仿宋" w:cs="仿宋"/>
                <w:color w:val="auto"/>
                <w:sz w:val="24"/>
                <w:highlight w:val="none"/>
                <w:lang w:val="zh-CN"/>
              </w:rPr>
              <w:t xml:space="preserve">期</w:t>
            </w:r>
            <w:r/>
          </w:p>
        </w:tc>
        <w:tc>
          <w:tcPr>
            <w:tcW w:w="6641" w:type="dxa"/>
            <w:vAlign w:val="center"/>
            <w:textDirection w:val="lrTb"/>
            <w:noWrap/>
          </w:tcPr>
          <w:p>
            <w:pPr>
              <w:rPr>
                <w:rFonts w:ascii="MS Mincho" w:hAnsi="MS Mincho" w:eastAsia="仿宋" w:cs="MS Mincho"/>
                <w:color w:val="auto"/>
                <w:sz w:val="24"/>
                <w:highlight w:val="none"/>
              </w:rPr>
            </w:pPr>
            <w:r>
              <w:rPr>
                <w:rFonts w:hint="eastAsia" w:ascii="仿宋" w:hAnsi="仿宋" w:eastAsia="仿宋" w:cs="仿宋"/>
                <w:color w:val="auto"/>
                <w:sz w:val="24"/>
                <w:highlight w:val="none"/>
              </w:rPr>
              <w:t xml:space="preserve">90日历天</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1.8</w:t>
            </w:r>
            <w:r/>
          </w:p>
        </w:tc>
        <w:tc>
          <w:tcPr>
            <w:tcW w:w="1803" w:type="dxa"/>
            <w:vAlign w:val="center"/>
            <w:textDirection w:val="lrTb"/>
            <w:noWrap/>
          </w:tcPr>
          <w:p>
            <w:pPr>
              <w:pStyle w:val="1108"/>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付款方式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本项目价款一律通过银行汇入中标人账户。</w:t>
            </w:r>
            <w:r/>
          </w:p>
          <w:p>
            <w:pPr>
              <w:pStyle w:val="1108"/>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双方签订合同后支付合同金额的</w:t>
            </w:r>
            <w:r>
              <w:rPr>
                <w:rFonts w:hint="eastAsia" w:ascii="仿宋" w:hAnsi="仿宋" w:eastAsia="仿宋"/>
                <w:color w:val="auto"/>
                <w:sz w:val="24"/>
                <w:highlight w:val="none"/>
              </w:rPr>
              <w:t xml:space="preserve">30</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项目完成并经验收合格后一次性付清余款</w:t>
            </w:r>
            <w:r>
              <w:rPr>
                <w:rFonts w:hint="eastAsia" w:ascii="仿宋" w:hAnsi="仿宋" w:eastAsia="仿宋"/>
                <w:color w:val="auto"/>
                <w:sz w:val="24"/>
                <w:highlight w:val="none"/>
                <w:lang w:val="zh-CN"/>
              </w:rPr>
              <w:t xml:space="preserve">。</w:t>
            </w:r>
            <w:r/>
          </w:p>
          <w:p>
            <w:pPr>
              <w:pStyle w:val="1108"/>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注：在签订合同时，供应商明确表示无需预付款或者主动要求降低预付款比例的，采购人可不适用预付规定。</w:t>
            </w:r>
            <w:r/>
          </w:p>
        </w:tc>
      </w:tr>
      <w:tr>
        <w:trPr>
          <w:jc w:val="center"/>
          <w:trHeight w:val="44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售后服务要求见</w:t>
            </w:r>
            <w:r>
              <w:rPr>
                <w:rFonts w:hint="eastAsia" w:ascii="仿宋" w:hAnsi="仿宋" w:eastAsia="仿宋" w:cs="仿宋"/>
                <w:color w:val="auto"/>
                <w:sz w:val="24"/>
                <w:highlight w:val="none"/>
              </w:rPr>
              <w:t xml:space="preserve">第十一章 项目需求以及技术要求。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踏勘现场</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 不组织，自行踏勘</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组  织，踏勘时间：</w:t>
            </w:r>
            <w:r/>
          </w:p>
          <w:p>
            <w:pPr>
              <w:tabs>
                <w:tab w:val="left" w:pos="7665"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踏勘集中地点：</w:t>
            </w:r>
            <w:r/>
          </w:p>
          <w:p>
            <w:pP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注：根据采购方的实际情况，对现场自行踏勘，了解采购方实际情况需求，响应文件要符合现场实际情况；未踏勘现场的供应商中标后不得以不了解现场的具体要求而提出追加费用和其他索赔要求。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构成磋商文件的其他材料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w:t>
            </w:r>
            <w:r/>
          </w:p>
        </w:tc>
      </w:tr>
      <w:tr>
        <w:trPr>
          <w:jc w:val="center"/>
          <w:trHeight w:val="27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供应商要求澄清磋商文件的截止时间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2025年11月</w:t>
            </w:r>
            <w:r>
              <w:rPr>
                <w:rFonts w:hint="eastAsia" w:ascii="仿宋" w:hAnsi="仿宋" w:eastAsia="仿宋" w:cs="仿宋"/>
                <w:b/>
                <w:color w:val="auto"/>
                <w:sz w:val="24"/>
                <w:highlight w:val="none"/>
                <w:lang w:val="en-US" w:eastAsia="zh-CN"/>
              </w:rPr>
              <w:t xml:space="preserve">7</w:t>
            </w:r>
            <w:r>
              <w:rPr>
                <w:rFonts w:hint="eastAsia" w:ascii="仿宋" w:hAnsi="仿宋" w:eastAsia="仿宋" w:cs="仿宋"/>
                <w:b/>
                <w:color w:val="auto"/>
                <w:sz w:val="24"/>
                <w:highlight w:val="none"/>
              </w:rPr>
              <w:t xml:space="preserve">日17点30分。</w:t>
            </w:r>
            <w:r/>
          </w:p>
        </w:tc>
      </w:tr>
      <w:tr>
        <w:trPr>
          <w:jc w:val="center"/>
          <w:trHeight w:val="483"/>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w:t>
            </w:r>
            <w:r/>
          </w:p>
        </w:tc>
        <w:tc>
          <w:tcPr>
            <w:tcW w:w="6641" w:type="dxa"/>
            <w:vAlign w:val="center"/>
            <w:textDirection w:val="lrTb"/>
            <w:noWrap/>
          </w:tcPr>
          <w:p>
            <w:pPr>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与开标截止日时点相同。</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供应商确认收到磋商文件澄清的时间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1.15</w:t>
            </w:r>
            <w:r/>
          </w:p>
        </w:tc>
        <w:tc>
          <w:tcPr>
            <w:tcW w:w="1803" w:type="dxa"/>
            <w:vAlign w:val="center"/>
            <w:textDirection w:val="lrTb"/>
            <w:noWrap/>
          </w:tcPr>
          <w:p>
            <w:pPr>
              <w:ind w:right="-130"/>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供应商确认收到磋商文件修改、补充的时间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磋商响应有效期</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自响应截止之日起60天。</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构成商务标书的其他材料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供应商资格要求的证明材料和情况说明</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见磋商文件第</w:t>
            </w:r>
            <w:r>
              <w:rPr>
                <w:rFonts w:hint="eastAsia" w:ascii="仿宋" w:hAnsi="仿宋" w:eastAsia="仿宋" w:cs="仿宋"/>
                <w:color w:val="auto"/>
                <w:sz w:val="24"/>
                <w:highlight w:val="none"/>
              </w:rPr>
              <w:t xml:space="preserve">四</w:t>
            </w:r>
            <w:r>
              <w:rPr>
                <w:rFonts w:hint="eastAsia" w:ascii="仿宋" w:hAnsi="仿宋" w:eastAsia="仿宋" w:cs="仿宋"/>
                <w:color w:val="auto"/>
                <w:sz w:val="24"/>
                <w:highlight w:val="none"/>
                <w:lang w:val="zh-CN"/>
              </w:rPr>
              <w:t xml:space="preserve">章规定。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构成技术标书的其他材料</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服务费</w:t>
            </w:r>
            <w:r>
              <w:rPr>
                <w:rFonts w:hint="eastAsia" w:ascii="仿宋" w:hAnsi="仿宋" w:eastAsia="仿宋" w:cs="仿宋"/>
                <w:color w:val="auto"/>
                <w:sz w:val="24"/>
                <w:highlight w:val="none"/>
                <w:lang w:val="zh-CN"/>
              </w:rPr>
              <w:t xml:space="preserve">范围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b/>
                <w:bCs/>
                <w:color w:val="auto"/>
                <w:sz w:val="24"/>
                <w:highlight w:val="none"/>
              </w:rPr>
              <w:t xml:space="preserve">为含税全包价，</w:t>
            </w:r>
            <w:r>
              <w:rPr>
                <w:rFonts w:hint="eastAsia" w:ascii="仿宋" w:hAnsi="仿宋" w:eastAsia="仿宋"/>
                <w:color w:val="auto"/>
                <w:sz w:val="24"/>
                <w:highlight w:val="none"/>
              </w:rPr>
              <w:t xml:space="preserve">包括</w:t>
            </w:r>
            <w:r>
              <w:rPr>
                <w:rFonts w:hint="eastAsia" w:ascii="仿宋" w:hAnsi="仿宋" w:eastAsia="仿宋" w:cs="仿宋"/>
                <w:color w:val="auto"/>
                <w:sz w:val="24"/>
                <w:highlight w:val="none"/>
                <w:lang w:val="zh-CN"/>
              </w:rPr>
              <w:t xml:space="preserve">全部服务所需的人工费、通讯费、交通费、资料费、调查费、研究报告及编制费（含印刷费）、咨询费、后续服务费、</w:t>
            </w:r>
            <w:r>
              <w:rPr>
                <w:rFonts w:hint="eastAsia" w:ascii="仿宋" w:hAnsi="仿宋" w:eastAsia="仿宋" w:cs="仿宋"/>
                <w:color w:val="auto"/>
                <w:sz w:val="24"/>
                <w:highlight w:val="none"/>
              </w:rPr>
              <w:t xml:space="preserve">节假日加班工资、社会保险、意外险、利润、税金、政策性文件规定及合同包含的所有风险、责任等各项完成本项目可能存在的应有费用。</w:t>
            </w:r>
            <w:r>
              <w:rPr>
                <w:rFonts w:hint="eastAsia" w:ascii="仿宋" w:hAnsi="仿宋" w:eastAsia="仿宋" w:cs="Arial"/>
                <w:color w:val="auto"/>
                <w:sz w:val="24"/>
                <w:highlight w:val="none"/>
                <w:lang w:val="en-GB"/>
              </w:rPr>
              <w:t xml:space="preserve">也包含委托代理咨询服务费，无论供应商是否计算均视为包含在总报价内。响应人在进行报价时应充分考虑到各环节成本因素，报价一经报定，不得更改，并作为中标后开展编制工作的收费标准。</w:t>
            </w:r>
            <w:r/>
          </w:p>
        </w:tc>
      </w:tr>
      <w:tr>
        <w:trPr>
          <w:jc w:val="center"/>
          <w:trHeight w:val="58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磋商报价内容的其他要求</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是否允许递交备选响应方案</w:t>
            </w:r>
            <w:r/>
          </w:p>
        </w:tc>
        <w:tc>
          <w:tcPr>
            <w:tcW w:w="6641" w:type="dxa"/>
            <w:vAlign w:val="center"/>
            <w:textDirection w:val="lrTb"/>
            <w:noWrap/>
          </w:tcPr>
          <w:p>
            <w:pPr>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不允许</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允  许，备选响应方案的编制要求、评标办法：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样品要求</w:t>
            </w:r>
            <w:r/>
          </w:p>
        </w:tc>
        <w:tc>
          <w:tcPr>
            <w:tcW w:w="6641" w:type="dxa"/>
            <w:vAlign w:val="center"/>
            <w:textDirection w:val="lrTb"/>
            <w:noWrap/>
          </w:tcPr>
          <w:p>
            <w:pPr>
              <w:ind w:left="360" w:hanging="360"/>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不需提交样品</w:t>
            </w:r>
            <w:r/>
          </w:p>
          <w:p>
            <w:pPr>
              <w:ind w:left="360" w:hanging="360"/>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bookmarkStart w:id="38" w:name="OLE_LINK22"/>
            <w:r/>
            <w:bookmarkStart w:id="39" w:name="OLE_LINK21"/>
            <w:r>
              <w:rPr>
                <w:rFonts w:hint="eastAsia" w:ascii="MS Mincho" w:hAnsi="MS Mincho" w:cs="MS Mincho"/>
                <w:color w:val="auto"/>
                <w:sz w:val="24"/>
                <w:highlight w:val="none"/>
                <w:lang w:val="zh-CN"/>
              </w:rPr>
              <w:t xml:space="preserve"> </w:t>
            </w:r>
            <w:bookmarkEnd w:id="38"/>
            <w:r/>
            <w:bookmarkEnd w:id="39"/>
            <w:r>
              <w:rPr>
                <w:rFonts w:hint="eastAsia" w:ascii="仿宋" w:hAnsi="仿宋" w:eastAsia="仿宋" w:cs="仿宋"/>
                <w:color w:val="auto"/>
                <w:sz w:val="24"/>
                <w:highlight w:val="none"/>
                <w:lang w:val="zh-CN"/>
              </w:rPr>
              <w:t xml:space="preserve">需提交样品，样品送达要求如下：</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投标文件递交</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），按照要求通过互联网方式提交首次响应文件。</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“苏采云”系统使用要求：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使用谷歌浏览器参与不见面开标及</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环节。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电脑需提前准备好麦克风、音响，摄像头，提前检查保证能够正常使用。</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操作系统至少win7以上，建议使用win10操作系统。</w:t>
            </w:r>
            <w:r/>
          </w:p>
          <w:p>
            <w:pPr>
              <w:rPr>
                <w:rFonts w:eastAsia="仿宋"/>
                <w:color w:val="auto"/>
                <w:highlight w:val="none"/>
              </w:rPr>
            </w:pPr>
            <w:r>
              <w:rPr>
                <w:rFonts w:hint="eastAsia" w:ascii="仿宋" w:hAnsi="仿宋" w:eastAsia="仿宋" w:cs="仿宋"/>
                <w:color w:val="auto"/>
                <w:sz w:val="24"/>
                <w:highlight w:val="none"/>
                <w:lang w:val="en-GB"/>
              </w:rPr>
              <w:t xml:space="preserve">投标</w:t>
            </w:r>
            <w:r>
              <w:rPr>
                <w:rFonts w:hint="eastAsia" w:ascii="仿宋" w:hAnsi="仿宋" w:eastAsia="仿宋" w:cs="仿宋"/>
                <w:color w:val="auto"/>
                <w:sz w:val="24"/>
                <w:highlight w:val="none"/>
                <w:lang w:val="zh-CN"/>
              </w:rPr>
              <w:t xml:space="preserve">文件递交截止时间：</w:t>
            </w:r>
            <w:r>
              <w:rPr>
                <w:rFonts w:hint="eastAsia" w:ascii="仿宋" w:hAnsi="仿宋" w:eastAsia="仿宋" w:cs="仿宋"/>
                <w:color w:val="auto"/>
                <w:sz w:val="24"/>
                <w:highlight w:val="none"/>
              </w:rPr>
              <w:t xml:space="preserve">详见网上公告。</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是否退还</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响应文件</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是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否</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和地点</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开标时间：见磋商公告规定响应截止时间和开标</w:t>
            </w:r>
            <w:r>
              <w:rPr>
                <w:rFonts w:hint="eastAsia" w:ascii="仿宋" w:hAnsi="仿宋" w:eastAsia="仿宋" w:cs="仿宋"/>
                <w:color w:val="auto"/>
                <w:sz w:val="24"/>
                <w:highlight w:val="none"/>
              </w:rPr>
              <w:t xml:space="preserve">时间</w:t>
            </w:r>
            <w:r/>
          </w:p>
          <w:p>
            <w:pPr>
              <w:jc w:val="left"/>
              <w:rPr>
                <w:color w:val="auto"/>
                <w:highlight w:val="none"/>
                <w:lang w:val="zh-CN"/>
              </w:rPr>
            </w:pPr>
            <w:r>
              <w:rPr>
                <w:rFonts w:hint="eastAsia" w:ascii="仿宋" w:hAnsi="仿宋" w:eastAsia="仿宋" w:cs="仿宋"/>
                <w:color w:val="auto"/>
                <w:sz w:val="24"/>
                <w:highlight w:val="none"/>
                <w:lang w:val="zh-CN"/>
              </w:rPr>
              <w:t xml:space="preserve">开标地点：“苏采云”系统（网址：http://jszfcg.jsczt.cn/）“开标大厅”，点击“苏采云”进入系统“开标大厅”。</w:t>
            </w:r>
            <w:r/>
          </w:p>
        </w:tc>
      </w:tr>
      <w:tr>
        <w:trPr>
          <w:jc w:val="center"/>
          <w:trHeight w:val="404"/>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评审小组人数：</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3 </w:t>
            </w:r>
            <w:r>
              <w:rPr>
                <w:rFonts w:hint="eastAsia" w:ascii="仿宋" w:hAnsi="仿宋" w:eastAsia="仿宋" w:cs="仿宋"/>
                <w:color w:val="auto"/>
                <w:sz w:val="24"/>
                <w:highlight w:val="none"/>
                <w:lang w:val="zh-CN"/>
              </w:rPr>
              <w:t xml:space="preserve">人，其中采购人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人</w:t>
            </w:r>
            <w:r/>
          </w:p>
        </w:tc>
      </w:tr>
      <w:tr>
        <w:trPr>
          <w:jc w:val="center"/>
          <w:trHeight w:val="410"/>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ind w:left="-124"/>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成交供应商数量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废标条款</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在项目采购中，出现下列情形之一的，应予废标：</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（2）出现影响采购公正的违法、违规行为的；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w:t>
            </w:r>
            <w:r>
              <w:rPr>
                <w:rFonts w:hint="eastAsia" w:ascii="仿宋" w:hAnsi="仿宋" w:eastAsia="仿宋" w:cs="仿宋"/>
                <w:color w:val="auto"/>
                <w:sz w:val="24"/>
                <w:highlight w:val="none"/>
                <w:lang w:val="zh-CN"/>
              </w:rPr>
              <w:t xml:space="preserve">采购预算</w:t>
            </w:r>
            <w:r>
              <w:rPr>
                <w:rFonts w:ascii="仿宋" w:hAnsi="仿宋" w:eastAsia="仿宋" w:cs="仿宋"/>
                <w:color w:val="auto"/>
                <w:sz w:val="24"/>
                <w:highlight w:val="none"/>
                <w:lang w:val="zh-CN"/>
              </w:rPr>
              <w:t xml:space="preserve">价的，采购人不能支付的；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（4）因重大变故，采购任务取消的；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（5）法律、法规以及磋商文件规定废标情形。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导致无效标因素</w:t>
            </w:r>
            <w:r/>
          </w:p>
        </w:tc>
        <w:tc>
          <w:tcPr>
            <w:tcW w:w="6641" w:type="dxa"/>
            <w:vAlign w:val="center"/>
            <w:textDirection w:val="lrTb"/>
            <w:noWrap/>
          </w:tcPr>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属下列情况之一的，在资格性、符合性检查时按照无效响应处理：</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（1）响应文件未按磋商文件要求签署、盖章的；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（2）不具备磋商文件中规定的资格要求的；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报价超过磋商文件中规定最高限价的；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（4）响应文件含有采购人不能接受的附加条件的；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（5）法律、法规和磋商文件规定的其他无效情形。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bookmarkStart w:id="40" w:name="_Toc302967378"/>
            <w:r/>
            <w:bookmarkStart w:id="41" w:name="_Toc329009667"/>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30</w:t>
            </w:r>
            <w:r/>
          </w:p>
        </w:tc>
        <w:tc>
          <w:tcPr>
            <w:tcW w:w="1803" w:type="dxa"/>
            <w:vAlign w:val="center"/>
            <w:textDirection w:val="lrTb"/>
            <w:noWrap/>
          </w:tcPr>
          <w:p>
            <w:pPr>
              <w:pStyle w:val="1108"/>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其他说明</w:t>
            </w:r>
            <w:r/>
          </w:p>
        </w:tc>
        <w:tc>
          <w:tcPr>
            <w:tcW w:w="6641" w:type="dxa"/>
            <w:vAlign w:val="center"/>
            <w:textDirection w:val="lrTb"/>
            <w:noWrap/>
          </w:tcPr>
          <w:p>
            <w:pPr>
              <w:pStyle w:val="1109"/>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1、中标单位在领取中标通知书时需提供叁份纸质投标文件（一正二副）和壹份电子版投标文件（以U盘为载体）；中标单位与采购单位签订合同后，及时向招标代理机构提供合同的扫描件以作备案。</w:t>
            </w:r>
            <w:r/>
          </w:p>
          <w:p>
            <w:pPr>
              <w:pStyle w:val="1109"/>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2、本磋商文件与前附表相矛盾或冲突的部分以前附表为准，但采购需求中的要求优先执行，采购文件未明确的或与政府采购法及相关法律法规不一致的按法律法规执行；供应商在编制响应文件中，磋商文件中没有类似表格的，格式自拟。</w:t>
            </w:r>
            <w:r/>
          </w:p>
          <w:p>
            <w:pPr>
              <w:pStyle w:val="1109"/>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3、如采购文件中涉及规范规程标准有更新的按最新更新文件执行。</w:t>
            </w:r>
            <w:r/>
          </w:p>
          <w:p>
            <w:pPr>
              <w:pStyle w:val="1108"/>
              <w:rPr>
                <w:color w:val="auto"/>
                <w:highlight w:val="none"/>
                <w:lang w:val="en-GB"/>
              </w:rPr>
            </w:pPr>
            <w:r>
              <w:rPr>
                <w:rFonts w:hint="eastAsia" w:ascii="仿宋" w:hAnsi="仿宋" w:eastAsia="仿宋"/>
                <w:b/>
                <w:bCs/>
                <w:color w:val="auto"/>
                <w:sz w:val="24"/>
                <w:highlight w:val="none"/>
              </w:rPr>
              <w:t xml:space="preserve">4、招标文件内容，如含有排除或限制市场竞争的内容，请与我单位反映。</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1.31</w:t>
            </w:r>
            <w:r/>
          </w:p>
        </w:tc>
        <w:tc>
          <w:tcPr>
            <w:tcW w:w="1803" w:type="dxa"/>
            <w:vAlign w:val="center"/>
            <w:textDirection w:val="lrTb"/>
            <w:noWrap/>
          </w:tcPr>
          <w:p>
            <w:pPr>
              <w:pStyle w:val="1108"/>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注：中小微企业划分标准参照工信部联企业[2011]300号文规定，本项目采购标的所属行业为</w:t>
            </w:r>
            <w:r>
              <w:rPr>
                <w:rFonts w:hint="eastAsia" w:ascii="仿宋" w:hAnsi="仿宋" w:eastAsia="仿宋" w:cs="仿宋"/>
                <w:b/>
                <w:bCs/>
                <w:color w:val="auto"/>
                <w:sz w:val="24"/>
                <w:highlight w:val="none"/>
                <w:lang w:val="zh-CN"/>
              </w:rPr>
              <w:t xml:space="preserve">“</w:t>
            </w:r>
            <w:r>
              <w:rPr>
                <w:rFonts w:hint="eastAsia" w:ascii="仿宋" w:hAnsi="仿宋" w:eastAsia="仿宋" w:cs="仿宋"/>
                <w:b/>
                <w:bCs/>
                <w:color w:val="auto"/>
                <w:sz w:val="24"/>
                <w:highlight w:val="none"/>
              </w:rPr>
              <w:t xml:space="preserve">其他未列明行业</w:t>
            </w:r>
            <w:r>
              <w:rPr>
                <w:rFonts w:hint="eastAsia" w:ascii="仿宋" w:hAnsi="仿宋" w:eastAsia="仿宋" w:cs="仿宋"/>
                <w:b/>
                <w:bCs/>
                <w:color w:val="auto"/>
                <w:sz w:val="24"/>
                <w:highlight w:val="none"/>
                <w:lang w:val="zh-CN"/>
              </w:rPr>
              <w:t xml:space="preserve">”</w:t>
            </w:r>
            <w:r>
              <w:rPr>
                <w:rFonts w:hint="eastAsia" w:ascii="仿宋" w:hAnsi="仿宋" w:eastAsia="仿宋" w:cs="仿宋"/>
                <w:color w:val="auto"/>
                <w:sz w:val="24"/>
                <w:highlight w:val="none"/>
                <w:lang w:val="en-GB"/>
              </w:rPr>
              <w:t xml:space="preserve">。</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color w:val="auto"/>
                <w:sz w:val="24"/>
                <w:highlight w:val="none"/>
                <w:lang w:val="en-GB"/>
              </w:rPr>
              <w:t xml:space="preserve">本项目小微型企业价格扣除：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（1）对小型和微型企业产品的价格给予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（2）监狱企业视同小型、微型企业，对其产品价格给予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（3）残疾人福利性单位视同小型、微型企业，对其产品价格给予</w:t>
            </w:r>
            <w:r>
              <w:rPr>
                <w:rFonts w:hint="eastAsia" w:ascii="仿宋" w:hAnsi="仿宋" w:eastAsia="仿宋" w:cs="仿宋"/>
                <w:color w:val="auto"/>
                <w:sz w:val="24"/>
                <w:highlight w:val="none"/>
                <w:u w:val="single"/>
                <w:lang w:val="en-GB"/>
              </w:rPr>
              <w:t xml:space="preserve">10%</w:t>
            </w:r>
            <w:r>
              <w:rPr>
                <w:rFonts w:hint="eastAsia" w:ascii="仿宋" w:hAnsi="仿宋" w:eastAsia="仿宋" w:cs="仿宋"/>
                <w:color w:val="auto"/>
                <w:sz w:val="24"/>
                <w:highlight w:val="none"/>
                <w:lang w:val="en-GB"/>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（4）残疾人福利单位、监狱企业属于小型、微型企业的，不重复享受政策。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w:t>
            </w:r>
            <w:r>
              <w:rPr>
                <w:rFonts w:hint="eastAsia" w:ascii="仿宋" w:hAnsi="仿宋" w:eastAsia="仿宋" w:cs="仿宋"/>
                <w:color w:val="auto"/>
                <w:sz w:val="24"/>
                <w:highlight w:val="none"/>
                <w:u w:val="single"/>
                <w:lang w:val="en-GB"/>
              </w:rPr>
              <w:t xml:space="preserve"> 4% </w:t>
            </w:r>
            <w:r>
              <w:rPr>
                <w:rFonts w:hint="eastAsia" w:ascii="仿宋" w:hAnsi="仿宋" w:eastAsia="仿宋" w:cs="仿宋"/>
                <w:color w:val="auto"/>
                <w:sz w:val="24"/>
                <w:highlight w:val="none"/>
                <w:lang w:val="en-GB"/>
              </w:rPr>
              <w:t xml:space="preserve">的价格扣除，用扣除后的价格参与评审。供应商须在联合体各方共同投标协议或分包协议中明确，否则不得享受价格扣除。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（6）联合体各方均为小型、微型企业的，联合体视同为小型、微型企业按规定享受价格扣除。</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pStyle w:val="1108"/>
              <w:rPr>
                <w:rFonts w:ascii="仿宋" w:hAnsi="仿宋" w:eastAsia="仿宋" w:cs="仿宋"/>
                <w:b/>
                <w:color w:val="auto"/>
                <w:sz w:val="24"/>
                <w:szCs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仿宋"/>
                <w:b/>
                <w:color w:val="auto"/>
                <w:sz w:val="24"/>
                <w:szCs w:val="24"/>
                <w:highlight w:val="none"/>
                <w:lang w:val="en-GB"/>
              </w:rPr>
              <w:t xml:space="preserve">2、落实政府采购节能产品、环境标志产品要求：</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依据财政部、发展改革委发布的《节能产品政府采购品目清单》，本项目如有政府强制采购节能产品的（属于清单中打★品目的），只能选择具有国家确定的认证机构出具的、处于有效期之内的节能产品认证证书的产品进行报价。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1108"/>
              <w:rPr>
                <w:rFonts w:ascii="仿宋" w:hAnsi="仿宋" w:eastAsia="仿宋" w:cs="仿宋"/>
                <w:color w:val="auto"/>
                <w:sz w:val="24"/>
                <w:szCs w:val="24"/>
                <w:highlight w:val="none"/>
                <w:lang w:val="en-GB"/>
              </w:rPr>
            </w:pPr>
            <w:r>
              <w:rPr>
                <w:rFonts w:hint="eastAsia" w:ascii="仿宋" w:hAnsi="仿宋" w:eastAsia="仿宋" w:cs="仿宋"/>
                <w:color w:val="auto"/>
                <w:sz w:val="24"/>
                <w:highlight w:val="none"/>
                <w:lang w:val="en-GB"/>
              </w:rPr>
              <w:t xml:space="preserve">认证机构详见市场监管总局发布的《参与实施政府采购节能产品认证机构名录》和《参与实施政府采购环境标志产品认证机构名录》。</w:t>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3、落实商品包装、快递包装要求：</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4、“政采贷”：</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仿宋"/>
                <w:b/>
                <w:color w:val="auto"/>
                <w:sz w:val="24"/>
                <w:highlight w:val="none"/>
                <w:lang w:val="en-GB"/>
              </w:rPr>
            </w:pPr>
            <w:r/>
            <w:bookmarkStart w:id="42" w:name="OLE_LINK7"/>
            <w:r/>
            <w:bookmarkStart w:id="43" w:name="OLE_LINK8"/>
            <w:r>
              <w:rPr>
                <w:rFonts w:hint="eastAsia" w:ascii="MS Mincho" w:hAnsi="MS Mincho" w:eastAsia="MS Mincho" w:cs="MS Mincho"/>
                <w:b/>
                <w:color w:val="auto"/>
                <w:sz w:val="24"/>
                <w:highlight w:val="none"/>
                <w:lang w:val="en-GB"/>
              </w:rPr>
              <w:t xml:space="preserve">☑</w:t>
            </w:r>
            <w:bookmarkEnd w:id="42"/>
            <w:r/>
            <w:bookmarkEnd w:id="43"/>
            <w:r>
              <w:rPr>
                <w:rFonts w:hint="eastAsia" w:ascii="仿宋" w:hAnsi="仿宋" w:eastAsia="仿宋" w:cs="仿宋"/>
                <w:b/>
                <w:color w:val="auto"/>
                <w:sz w:val="24"/>
                <w:highlight w:val="none"/>
                <w:lang w:val="en-GB"/>
              </w:rPr>
              <w:t xml:space="preserve">5、合同特别提醒：</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采购人原则上应当自收到发票后10个工作日内将资金支付到合同约定的供应商账户。</w:t>
            </w:r>
            <w:r/>
          </w:p>
          <w:p>
            <w:pPr>
              <w:rPr>
                <w:rFonts w:ascii="仿宋" w:hAnsi="仿宋" w:eastAsia="仿宋" w:cs="仿宋"/>
                <w:b/>
                <w:color w:val="auto"/>
                <w:sz w:val="24"/>
                <w:highlight w:val="none"/>
                <w:lang w:val="en-GB"/>
              </w:rPr>
            </w:pPr>
            <w:r>
              <w:rPr>
                <w:rFonts w:hint="eastAsia" w:ascii="MS Mincho" w:hAnsi="MS Mincho" w:eastAsia="MS Mincho" w:cs="MS Mincho"/>
                <w:b/>
                <w:color w:val="auto"/>
                <w:sz w:val="24"/>
                <w:highlight w:val="none"/>
                <w:lang w:val="en-GB"/>
              </w:rPr>
              <w:t xml:space="preserve">☑</w:t>
            </w:r>
            <w:r>
              <w:rPr>
                <w:rFonts w:hint="eastAsia" w:ascii="仿宋" w:hAnsi="仿宋" w:eastAsia="仿宋" w:cs="仿宋"/>
                <w:b/>
                <w:color w:val="auto"/>
                <w:sz w:val="24"/>
                <w:highlight w:val="none"/>
                <w:lang w:val="en-GB"/>
              </w:rPr>
              <w:t xml:space="preserve">6、服务类项目服务人员规定：</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w:t>
            </w:r>
            <w:r>
              <w:rPr>
                <w:rFonts w:hint="eastAsia" w:ascii="仿宋" w:hAnsi="仿宋" w:eastAsia="仿宋" w:cs="仿宋"/>
                <w:color w:val="auto"/>
                <w:sz w:val="24"/>
                <w:highlight w:val="none"/>
                <w:u w:val="single"/>
                <w:lang w:val="en-GB"/>
              </w:rPr>
              <w:t xml:space="preserve">在服务采购项目中，服务由中小企业承接，即提供服务的人员为中小企业依照《中华人民共和国民法典》订立劳动合同的从业人员。服务类项目中供应商若使用退休人员等未采用订立劳动合同的从业人员服务，将不享受相应扶持政策。</w:t>
            </w:r>
            <w:r/>
          </w:p>
        </w:tc>
      </w:tr>
    </w:tbl>
    <w:p>
      <w:pPr>
        <w:pStyle w:val="1156"/>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GB"/>
        </w:rPr>
        <w:t xml:space="preserve">.适用范围</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本磋商文件仅适用于本磋商项目。</w:t>
      </w:r>
      <w:r/>
    </w:p>
    <w:p>
      <w:pPr>
        <w:pStyle w:val="1106"/>
        <w:numPr>
          <w:ilvl w:val="0"/>
          <w:numId w:val="0"/>
        </w:numPr>
        <w:spacing w:before="0" w:after="0"/>
        <w:rPr>
          <w:rFonts w:ascii="仿宋" w:hAnsi="仿宋" w:eastAsia="仿宋" w:cs="仿宋"/>
          <w:color w:val="auto"/>
          <w:sz w:val="28"/>
          <w:szCs w:val="28"/>
          <w:highlight w:val="none"/>
          <w:lang w:val="en-GB"/>
        </w:rPr>
      </w:pPr>
      <w:r/>
      <w:bookmarkStart w:id="44" w:name="_Toc302967373"/>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GB"/>
        </w:rPr>
        <w:t xml:space="preserve">. 定义</w:t>
      </w:r>
      <w:bookmarkEnd w:id="44"/>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竞争性磋商——是指采购人、代理机构通过组建竞争性磋商小组与符合条件的供应商就采购货物、工程和服务事宜进行磋商。</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.2 招标代理机构——见供应商须知前附表。</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.3 监督人——是指</w:t>
      </w:r>
      <w:r>
        <w:rPr>
          <w:rFonts w:hint="eastAsia" w:ascii="仿宋" w:hAnsi="仿宋" w:eastAsia="仿宋" w:cs="仿宋"/>
          <w:color w:val="auto"/>
          <w:sz w:val="24"/>
          <w:highlight w:val="none"/>
        </w:rPr>
        <w:t xml:space="preserve">靖江市政府采购管理办公室</w:t>
      </w:r>
      <w:r>
        <w:rPr>
          <w:rFonts w:hint="eastAsia" w:ascii="仿宋" w:hAnsi="仿宋" w:eastAsia="仿宋" w:cs="仿宋"/>
          <w:color w:val="auto"/>
          <w:sz w:val="24"/>
          <w:highlight w:val="none"/>
          <w:lang w:val="en-GB"/>
        </w:rPr>
        <w:t xml:space="preserve">。</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.4 供应商（卖方）——</w:t>
      </w:r>
      <w:r>
        <w:rPr>
          <w:rFonts w:hint="eastAsia" w:ascii="仿宋" w:hAnsi="仿宋" w:eastAsia="仿宋" w:cs="仿宋"/>
          <w:color w:val="auto"/>
          <w:sz w:val="24"/>
          <w:highlight w:val="none"/>
          <w:lang w:val="zh-CN"/>
        </w:rPr>
        <w:t xml:space="preserve">是指</w:t>
      </w:r>
      <w:r>
        <w:rPr>
          <w:rFonts w:hint="eastAsia" w:ascii="仿宋" w:hAnsi="仿宋" w:eastAsia="仿宋" w:cs="仿宋"/>
          <w:color w:val="auto"/>
          <w:sz w:val="24"/>
          <w:highlight w:val="none"/>
        </w:rPr>
        <w:t xml:space="preserve">响应磋商且符合磋商文件规定的资格条件和参加磋商的竞争的法人、其他组织或者自然人。</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5磋商小组——系指根据《中华人民共和国政府采购法》以及相关法律法规以及规定，由采购人代表和有关专家组成以确定成交供应商或者推荐中标候选人的临时组织。磋商小组由采购人代表和评审专家共3人以上单数组成，其中评审专家人数不得少于磋商小组成员总数的2/3。采购人代表不得以评审专家身份参加本部门或本单位采购项目的评审。采购代理机构人员不得参加者本机构代理的采购项目的评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.6成交供应商——系指通过竞争性磋商，供应商按照磋商文件的要求提交响应文件，采购人从磋商小组评审后提出的候选供应商名单中确定成交供应商的采购方式。</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.7 服务——是指根据本磋商文件规定，供应商必须承担的制造、运输、吊拉、安装、调试、技术协助、培训及其他各项义务。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.8综合评分法——是指响应文件满足磋商文件全部实质性要求且按评审因素的量化指标评审得分最高的供应商为成交候选供应商的评审方法。</w:t>
      </w:r>
      <w:r/>
    </w:p>
    <w:p>
      <w:pPr>
        <w:pStyle w:val="1106"/>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GB"/>
        </w:rPr>
        <w:t xml:space="preserve">. 招标依据以及原则</w:t>
      </w:r>
      <w:r/>
    </w:p>
    <w:p>
      <w:pPr>
        <w:ind w:firstLine="480"/>
        <w:spacing w:line="300" w:lineRule="auto"/>
        <w:rPr>
          <w:rFonts w:ascii="仿宋" w:hAnsi="仿宋" w:eastAsia="仿宋" w:cs="仿宋"/>
          <w:color w:val="auto"/>
          <w:sz w:val="24"/>
          <w:highlight w:val="none"/>
          <w:lang w:val="zh-CN"/>
        </w:rPr>
      </w:pPr>
      <w:r/>
      <w:bookmarkStart w:id="45" w:name="_Toc302967374"/>
      <w:r>
        <w:rPr>
          <w:rFonts w:hint="eastAsia" w:ascii="仿宋" w:hAnsi="仿宋" w:eastAsia="仿宋" w:cs="仿宋"/>
          <w:color w:val="auto"/>
          <w:sz w:val="24"/>
          <w:highlight w:val="none"/>
          <w:lang w:val="zh-CN"/>
        </w:rPr>
        <w:t xml:space="preserve">（1）《中华人民共和国政府采购法》；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（2）《中华人民共和国政府采购法实施条例》；</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（3）《中华人民共和国民法典》；</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（4）《电子招标投标办法》；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（5）《政府采购竞争性磋商采购方式管理办法》（财库214号）；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（6）《政府采购质疑和投诉办法》（财政部第94号令）；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r>
        <w:rPr>
          <w:rFonts w:hint="eastAsia" w:ascii="仿宋" w:hAnsi="仿宋" w:eastAsia="仿宋" w:cs="仿宋"/>
          <w:color w:val="auto"/>
          <w:sz w:val="24"/>
          <w:highlight w:val="none"/>
        </w:rPr>
        <w:t xml:space="preserve">《政府采购需求管理办法》财库〔2021〕22号；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（8）其他有关法律、行政法规以及省市规范性文件规定。</w:t>
      </w:r>
      <w:r/>
    </w:p>
    <w:p>
      <w:pPr>
        <w:pStyle w:val="1106"/>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GB"/>
        </w:rPr>
        <w:t xml:space="preserve">. 合格的供应商</w:t>
      </w:r>
      <w:bookmarkEnd w:id="45"/>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.1符合《中华人民共和国政府采购法》第二十二条规定的条件；</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.2符合本磋商文件规定的资格要求，并按照要求提供相关证明材料；</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.3法定代表人为同一个人的两个以及两个以上法人，母公司、全资子公司以及其控股公司或者存在管理关系的不同单位，都不得在同一标段或者未划分标段的同一磋商项目同时响应； </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.4磋商文件中带“★”条款为实质性条款，供应商必须按照磋商文件的要求做出实质性响应，否则响应无效；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.5供应商提供的证明材料内容必须真实可靠。</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5.6以联合体形式投标的，应符合以下规定：</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5.6.1联合体各方应按照招标文件提供的格式签订联合体协议书，明确联合体牵头人和各方权利义务；</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5.6.2联合体各方均应当符合政府采购法第二十二条规定的条件；</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5.6.3联合体各方中至少应当有一方符合采购人规定的资格要求。由同一资质条件的供应商组成的联合体，应当按照资质较低的供应商确定联合体的资质等级；</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5.6.4联合体各方不得再以自己名义单独在同一项目中投标，也不得组成新的联合体参加同一项目投标。</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5.6.5联合体各方应当共同与采购人签订采购合同，就合同约定的事项对采购人承担连带责任；</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5.7招标文件中带“★”条款为实质性条款，供应商必须按照招标文件的要求做出实质性响应，否则投标无效。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5.8招标文件中带“※”标注的产品为供应商开标时必须提供的样品。开标时未提供样品、提供样品不全或者未送至指定地点的，其投标无效。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5.9除采购人拟采购进口产品通过财政部门审核外，供应商不得提供直接进口或者委托进口产品（包括已进入中国境内的进口产品）。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5.10供应商不得直接或者间接地与采购人为本次招标的服务进行设计、编制规范和其他文件所委托的咨询公司或者其附属机构有任何关联。</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5.11供应商提供的证明材料内容必须真实可靠。</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5.12符合上述条件的供应商即为合格供应商，具有参与竞争性磋商的资格。</w:t>
      </w:r>
      <w:r/>
    </w:p>
    <w:p>
      <w:pPr>
        <w:pStyle w:val="1106"/>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GB"/>
        </w:rPr>
        <w:t xml:space="preserve">.保密</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参与磋商响应活动的当事人应对磋商文件和响应文件中的商业和技术等秘密保密，违者应对由此造成的后果承担法律责任。 </w:t>
      </w:r>
      <w:r/>
    </w:p>
    <w:p>
      <w:pPr>
        <w:pStyle w:val="1106"/>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val="en-GB"/>
        </w:rPr>
        <w:t xml:space="preserve">.语言文字以及度量衡单位</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.1所有文件使用的语言文字为中文。专用术语使用外文的，应附有中文注释；</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.2所有计量均采用中华人民共和国法定的计量单位。</w:t>
      </w:r>
      <w:r/>
    </w:p>
    <w:p>
      <w:pPr>
        <w:pStyle w:val="1106"/>
        <w:numPr>
          <w:ilvl w:val="0"/>
          <w:numId w:val="0"/>
        </w:numPr>
        <w:spacing w:before="0" w:after="0"/>
        <w:rPr>
          <w:rFonts w:ascii="仿宋" w:hAnsi="仿宋" w:eastAsia="仿宋" w:cs="仿宋"/>
          <w:color w:val="auto"/>
          <w:sz w:val="28"/>
          <w:szCs w:val="28"/>
          <w:highlight w:val="none"/>
          <w:lang w:val="en-GB"/>
        </w:rPr>
      </w:pPr>
      <w:r/>
      <w:bookmarkStart w:id="46" w:name="_Toc302967375"/>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val="en-GB"/>
        </w:rPr>
        <w:t xml:space="preserve">. 踏勘现场</w:t>
      </w:r>
      <w:bookmarkEnd w:id="46"/>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06"/>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lang w:val="en-GB"/>
        </w:rPr>
        <w:t xml:space="preserve">.偏离</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采购人允许响应文件偏离磋商文件某些非实质性要求的，偏离应当符合磋商文件规定的偏离范围和幅度，否则其响应无效。</w:t>
      </w:r>
      <w:r/>
    </w:p>
    <w:p>
      <w:pPr>
        <w:pStyle w:val="1106"/>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val="en-GB"/>
        </w:rPr>
        <w:t xml:space="preserve">.履约保证金</w:t>
      </w:r>
      <w:r/>
    </w:p>
    <w:p>
      <w:pPr>
        <w:ind w:firstLine="556"/>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rPr>
        <w:t xml:space="preserve">本项目</w:t>
      </w:r>
      <w:r>
        <w:rPr>
          <w:rFonts w:hint="eastAsia" w:ascii="仿宋" w:hAnsi="仿宋" w:eastAsia="仿宋" w:cs="Arial"/>
          <w:color w:val="auto"/>
          <w:sz w:val="24"/>
          <w:highlight w:val="none"/>
          <w:lang w:val="en-GB"/>
        </w:rPr>
        <w:t xml:space="preserve">免收履约保证金。</w:t>
      </w:r>
      <w:r/>
    </w:p>
    <w:p>
      <w:pPr>
        <w:pStyle w:val="1106"/>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GB"/>
        </w:rPr>
        <w:t xml:space="preserve">.</w:t>
      </w:r>
      <w:bookmarkStart w:id="47" w:name="_Toc302967376"/>
      <w:r>
        <w:rPr>
          <w:rFonts w:hint="eastAsia" w:ascii="仿宋" w:hAnsi="仿宋" w:eastAsia="仿宋" w:cs="仿宋"/>
          <w:color w:val="auto"/>
          <w:sz w:val="28"/>
          <w:szCs w:val="28"/>
          <w:highlight w:val="none"/>
          <w:lang w:val="en-GB"/>
        </w:rPr>
        <w:t xml:space="preserve">其他</w:t>
      </w:r>
      <w:bookmarkEnd w:id="47"/>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b/>
          <w:color w:val="auto"/>
          <w:sz w:val="24"/>
          <w:highlight w:val="none"/>
        </w:rPr>
        <w:t xml:space="preserve">11</w:t>
      </w:r>
      <w:r>
        <w:rPr>
          <w:rFonts w:hint="eastAsia" w:ascii="仿宋" w:hAnsi="仿宋" w:eastAsia="仿宋" w:cs="仿宋"/>
          <w:b/>
          <w:color w:val="auto"/>
          <w:sz w:val="24"/>
          <w:highlight w:val="none"/>
          <w:lang w:val="en-GB"/>
        </w:rPr>
        <w:t xml:space="preserve">.1供应商中标后直至验收止，成交供应商不得以任何形式和理由转包和分包（除前附表规定以外）。</w:t>
      </w:r>
      <w:r/>
    </w:p>
    <w:p>
      <w:pPr>
        <w:ind w:firstLine="482"/>
        <w:spacing w:line="300" w:lineRule="auto"/>
        <w:rPr>
          <w:rFonts w:ascii="仿宋" w:hAnsi="仿宋" w:eastAsia="仿宋" w:cs="仿宋"/>
          <w:color w:val="auto"/>
          <w:sz w:val="24"/>
          <w:highlight w:val="none"/>
          <w:lang w:val="en-GB"/>
        </w:rPr>
      </w:pPr>
      <w:r/>
      <w:bookmarkStart w:id="48" w:name="_Toc302967377"/>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2磋商文件载明分包的，供应商应当在响应文件中载明。中标后需要分包的，采购人向财政部门提出书面申请并经批准后，成交供应商可依法采取分包方式履行合同，但分包金额不得超出采购限额，超出采购限额的，采购人应重新组织磋商。分包履行的，成交供应商和分包人与采购人共同签订分包合同，成交供应商和分包人就分包项目承担责任；分包履行合同实施前，采购人必须将分包情况和分包合同副本报同级财政部门和有关部门备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除非有特殊要求，磋商文件不单独提供项目所在地的自然环境、气候条件、公用设施等情况，供应商被视为熟悉上述与履行合同有关的一切情况。</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GB"/>
        </w:rPr>
        <w:t xml:space="preserve">根据有关规定，凡有意参加本次磋商的各供应商请务必于规定时间内报名。否则，供应商将不能有效地进入磋商程序，由此引起的一切后果，供应商自负。</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 不论中标与否，已领取磋商文件的供应商应对磋商文件负保密责任。参与竞争性磋商活动的各方应对磋商文件和响应文件中的商业和技术等秘密保密，违者应对由此造成的后果承担法律责任。</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GB"/>
        </w:rPr>
        <w:t xml:space="preserve">供应商应自行承担其准备和参加竞争性磋商活动发生的所有费用。不论响应结果如何，采购人及招标代理机构在任何情况下无义务也无责任承担这些费用。</w:t>
      </w:r>
      <w:r/>
    </w:p>
    <w:p>
      <w:pPr>
        <w:ind w:firstLine="482"/>
        <w:spacing w:line="300" w:lineRule="auto"/>
        <w:rPr>
          <w:rFonts w:ascii="仿宋" w:hAnsi="仿宋" w:eastAsia="仿宋" w:cs="仿宋"/>
          <w:b/>
          <w:color w:val="auto"/>
          <w:szCs w:val="21"/>
          <w:highlight w:val="none"/>
          <w:lang w:val="en-GB"/>
        </w:rPr>
      </w:pPr>
      <w:r>
        <w:rPr>
          <w:rFonts w:ascii="仿宋" w:hAnsi="仿宋" w:eastAsia="仿宋" w:cs="仿宋"/>
          <w:b/>
          <w:color w:val="auto"/>
          <w:szCs w:val="21"/>
          <w:highlight w:val="none"/>
          <w:lang w:val="en-GB"/>
        </w:rPr>
      </w:r>
      <w:r/>
    </w:p>
    <w:p>
      <w:pPr>
        <w:jc w:val="center"/>
        <w:spacing w:line="30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第二章  磋商文件</w:t>
      </w:r>
      <w:bookmarkEnd w:id="48"/>
      <w:r/>
      <w:r/>
    </w:p>
    <w:p>
      <w:pPr>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12</w:t>
      </w:r>
      <w:r>
        <w:rPr>
          <w:rFonts w:hint="eastAsia" w:ascii="仿宋" w:hAnsi="仿宋" w:eastAsia="仿宋" w:cs="仿宋"/>
          <w:b/>
          <w:bCs/>
          <w:color w:val="auto"/>
          <w:sz w:val="28"/>
          <w:szCs w:val="28"/>
          <w:highlight w:val="none"/>
          <w:lang w:val="en-GB"/>
        </w:rPr>
        <w:t xml:space="preserve">.</w:t>
      </w:r>
      <w:r>
        <w:rPr>
          <w:rFonts w:hint="eastAsia" w:ascii="仿宋" w:hAnsi="仿宋" w:eastAsia="仿宋" w:cs="仿宋"/>
          <w:b/>
          <w:bCs/>
          <w:color w:val="auto"/>
          <w:sz w:val="28"/>
          <w:szCs w:val="28"/>
          <w:highlight w:val="none"/>
          <w:lang w:val="zh-CN"/>
        </w:rPr>
        <w:t xml:space="preserve">磋商文件的构成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磋商文件是用以阐明所需服务、磋商程序和合同格式的规范性文件。磋商文件主要由以下部分组成：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.1磋商文件的组成：</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竞争性磋商公告；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（1）供应商须知；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（2）磋商文件内容及要求；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（3）响应文件编制；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（4）采购人应当提交的资格、资信证明文件；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（5）响应截止时间、开标时间以及地点；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（6）评标、磋商、成交以及废标；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（7）签订合同、合同主要条款；</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（8）纪律和监督；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（9）质疑与投诉；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（10）交货和提供服务的时间；</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（11）项目需求以及技术要求；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（12）响应文件格式。</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采购人或者采购代理机构对磋商文件所作的答疑、澄清或者修改，均作为磋商文件的组成部分，对采购人、供应商均有约束作用。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.2供应商在响应截止时间前，应通过江苏政府采购网随时查看有关该项目磋商文件的澄清、磋商文件的修改（磋商答疑，补遗文件）等内容。查询如有遗漏，其风险由供应商自行承担。</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3供应商领取磋商文件后，应仔细阅读磋商文件及附件的全部内容，磋商文件与附件具有同等效力。供应商同时应认真审阅磋商文件中所有的事项、条款、格式和标准要求等，如果供应商的响应文件没有按照磋商文件要求提交全部资料或者响应文件没有对磋商文件做出实质性响应，其风险应由供应商自行承担，并且根据有关条款规定，其响应有可能被拒绝。</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13</w:t>
      </w:r>
      <w:r>
        <w:rPr>
          <w:rFonts w:hint="eastAsia" w:ascii="仿宋" w:hAnsi="仿宋" w:eastAsia="仿宋" w:cs="仿宋"/>
          <w:b/>
          <w:bCs/>
          <w:color w:val="auto"/>
          <w:sz w:val="28"/>
          <w:szCs w:val="28"/>
          <w:highlight w:val="none"/>
          <w:lang w:val="zh-CN"/>
        </w:rPr>
        <w:t xml:space="preserve"> .磋商文件的澄清与修改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.1供应商领取磋商文件后，应仔细阅读磋商文件的全部内容。如有疑问，应在规定时间内及时向采购人提出，以便澄清。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.2采购人不集中组织答疑，实行网上答疑。供应商若对磋商文件有疑问，需要采购人予以澄清，应于前附表所述时间和方式递交书面提疑，迟于该时间的采购人有权拒绝回答其提疑。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.3采购人将按供应商须知前附表规定时限前收到的书面疑问，形成磋商文件的澄清答疑。磋商文件的澄清答疑将在江苏政府采购网向所有供应商公示，但不指明来源。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4磋商文件发布后，在供应商须知前附表规定的时限内，确需要变更磋商文件内容的，采购人可主动或在解答供应商提出的澄清答疑时对磋商文件进行修改，并同时报监督部门备案。磋商文件的修改以答疑形式在江苏政府采购网发布。</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.5磋商文件、磋商文件的答疑内容均以网上发布的为准。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.6为使供应商在编写响应文件时有充分时间对磋商文件的答疑部分进行研究，采购人可以酌情延长递交响应文件的截止日期，具体时间将在磋商文件的答疑中明确。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.7当磋商文件、磋商文件的答疑内容相互矛盾时，以最后发出的文件为准。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14</w:t>
      </w:r>
      <w:r>
        <w:rPr>
          <w:rFonts w:hint="eastAsia" w:ascii="仿宋" w:hAnsi="仿宋" w:eastAsia="仿宋" w:cs="仿宋"/>
          <w:b/>
          <w:bCs/>
          <w:color w:val="auto"/>
          <w:sz w:val="28"/>
          <w:szCs w:val="28"/>
          <w:highlight w:val="none"/>
          <w:lang w:val="zh-CN"/>
        </w:rPr>
        <w:t xml:space="preserve">.样品检测、测试以及费用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本项目无样品检测。</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104"/>
        <w:jc w:val="center"/>
        <w:spacing w:before="0" w:after="0" w:line="300" w:lineRule="auto"/>
        <w:rPr>
          <w:rFonts w:ascii="仿宋" w:hAnsi="仿宋" w:eastAsia="仿宋" w:cs="仿宋"/>
          <w:color w:val="auto"/>
          <w:sz w:val="28"/>
          <w:szCs w:val="28"/>
          <w:highlight w:val="none"/>
        </w:rPr>
      </w:pPr>
      <w:r/>
      <w:bookmarkStart w:id="49" w:name="_Toc329009665"/>
      <w:r>
        <w:rPr>
          <w:rFonts w:hint="eastAsia" w:ascii="仿宋" w:hAnsi="仿宋" w:eastAsia="仿宋" w:cs="仿宋"/>
          <w:color w:val="auto"/>
          <w:sz w:val="28"/>
          <w:szCs w:val="28"/>
          <w:highlight w:val="none"/>
        </w:rPr>
        <w:t xml:space="preserve">第三章  磋商报价、响应文件编制</w:t>
      </w:r>
      <w:bookmarkEnd w:id="49"/>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15</w:t>
      </w:r>
      <w:r>
        <w:rPr>
          <w:rFonts w:hint="eastAsia" w:ascii="仿宋" w:hAnsi="仿宋" w:eastAsia="仿宋" w:cs="仿宋"/>
          <w:b/>
          <w:bCs/>
          <w:color w:val="auto"/>
          <w:sz w:val="28"/>
          <w:szCs w:val="28"/>
          <w:highlight w:val="none"/>
          <w:lang w:val="zh-CN"/>
        </w:rPr>
        <w:t xml:space="preserve">.磋商报价</w:t>
      </w:r>
      <w:r/>
    </w:p>
    <w:p>
      <w:pPr>
        <w:ind w:firstLine="480"/>
        <w:spacing w:line="300" w:lineRule="auto"/>
        <w:rPr>
          <w:rFonts w:ascii="仿宋" w:hAnsi="仿宋" w:eastAsia="仿宋" w:cs="Arial"/>
          <w:color w:val="auto"/>
          <w:sz w:val="24"/>
          <w:highlight w:val="none"/>
          <w:lang w:val="en-GB"/>
        </w:rPr>
      </w:pP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zh-CN"/>
        </w:rPr>
        <w:t xml:space="preserve">.1磋商报价的范围：</w:t>
      </w:r>
      <w:r>
        <w:rPr>
          <w:rFonts w:hint="eastAsia" w:ascii="仿宋" w:hAnsi="仿宋" w:eastAsia="仿宋" w:cs="Arial"/>
          <w:color w:val="auto"/>
          <w:sz w:val="24"/>
          <w:highlight w:val="none"/>
          <w:lang w:val="en-GB"/>
        </w:rPr>
        <w:t xml:space="preserve">为含税全包价，</w:t>
      </w:r>
      <w:r>
        <w:rPr>
          <w:rFonts w:hint="eastAsia" w:ascii="仿宋" w:hAnsi="仿宋" w:eastAsia="仿宋" w:cs="仿宋"/>
          <w:color w:val="auto"/>
          <w:sz w:val="24"/>
          <w:highlight w:val="none"/>
          <w:u w:val="single"/>
          <w:lang w:val="zh-CN"/>
        </w:rPr>
        <w:t xml:space="preserve">响应</w:t>
      </w:r>
      <w:r>
        <w:rPr>
          <w:rFonts w:ascii="仿宋" w:hAnsi="仿宋" w:eastAsia="仿宋" w:cs="仿宋"/>
          <w:color w:val="auto"/>
          <w:sz w:val="24"/>
          <w:highlight w:val="none"/>
          <w:u w:val="single"/>
          <w:lang w:val="zh-CN"/>
        </w:rPr>
        <w:t xml:space="preserve">报价</w:t>
      </w:r>
      <w:r>
        <w:rPr>
          <w:rFonts w:hint="eastAsia" w:ascii="仿宋" w:hAnsi="仿宋" w:eastAsia="仿宋" w:cs="仿宋"/>
          <w:color w:val="auto"/>
          <w:sz w:val="24"/>
          <w:highlight w:val="none"/>
          <w:u w:val="single"/>
          <w:lang w:val="zh-CN"/>
        </w:rPr>
        <w:t xml:space="preserve">内容</w:t>
      </w:r>
      <w:r>
        <w:rPr>
          <w:rFonts w:ascii="仿宋" w:hAnsi="仿宋" w:eastAsia="仿宋" w:cs="仿宋"/>
          <w:color w:val="auto"/>
          <w:sz w:val="24"/>
          <w:highlight w:val="none"/>
          <w:u w:val="single"/>
          <w:lang w:val="zh-CN"/>
        </w:rPr>
        <w:t xml:space="preserve">包括</w:t>
      </w:r>
      <w:r>
        <w:rPr>
          <w:rFonts w:hint="eastAsia" w:ascii="仿宋" w:hAnsi="仿宋" w:eastAsia="仿宋" w:cs="仿宋"/>
          <w:color w:val="auto"/>
          <w:sz w:val="24"/>
          <w:highlight w:val="none"/>
          <w:u w:val="single"/>
          <w:lang w:val="zh-CN"/>
        </w:rPr>
        <w:t xml:space="preserve">详见磋商文件前附表规定</w:t>
      </w:r>
      <w:r>
        <w:rPr>
          <w:rFonts w:hint="eastAsia" w:ascii="仿宋" w:hAnsi="仿宋" w:eastAsia="仿宋"/>
          <w:color w:val="auto"/>
          <w:sz w:val="24"/>
          <w:highlight w:val="none"/>
        </w:rPr>
        <w:t xml:space="preserve">。</w:t>
      </w:r>
      <w:r>
        <w:rPr>
          <w:rFonts w:hint="eastAsia" w:ascii="仿宋" w:hAnsi="仿宋" w:eastAsia="仿宋" w:cs="Arial"/>
          <w:color w:val="auto"/>
          <w:sz w:val="24"/>
          <w:highlight w:val="none"/>
          <w:lang w:val="en-GB"/>
        </w:rPr>
        <w:t xml:space="preserve">也包含委托代理技术咨询费，无论供应商是否计算均视为包含在总报价内。供应商在进行报价时应充分考虑到各环节成本因素，报价一经报定，不得更改，并作为中标后开展工作的收费标准。招标代理服务费</w:t>
      </w:r>
      <w:r>
        <w:rPr>
          <w:rFonts w:hint="eastAsia" w:ascii="仿宋" w:hAnsi="仿宋" w:eastAsia="仿宋" w:cs="仿宋"/>
          <w:color w:val="auto"/>
          <w:sz w:val="24"/>
          <w:highlight w:val="none"/>
          <w:lang w:val="en-GB"/>
        </w:rPr>
        <w:t xml:space="preserve">根据江苏省政府采购协会《关于印发&lt;江苏省政府采购代理服务收费指导意见&gt;的通知》（苏政采协[2024]）20号）文件所规定的收费标准的</w:t>
      </w:r>
      <w:r>
        <w:rPr>
          <w:rFonts w:hint="eastAsia" w:ascii="仿宋" w:hAnsi="仿宋" w:eastAsia="仿宋" w:cs="仿宋"/>
          <w:color w:val="auto"/>
          <w:sz w:val="24"/>
          <w:highlight w:val="none"/>
        </w:rPr>
        <w:t xml:space="preserve">60%</w:t>
      </w:r>
      <w:r>
        <w:rPr>
          <w:rFonts w:hint="eastAsia" w:ascii="仿宋" w:hAnsi="仿宋" w:eastAsia="仿宋" w:cs="仿宋"/>
          <w:color w:val="auto"/>
          <w:sz w:val="24"/>
          <w:highlight w:val="none"/>
          <w:lang w:val="en-GB"/>
        </w:rPr>
        <w:t xml:space="preserve">收取。按中标价为基准采用累进计费，即50万元（含）以下按</w:t>
      </w:r>
      <w:r>
        <w:rPr>
          <w:rFonts w:hint="eastAsia" w:ascii="仿宋" w:hAnsi="仿宋" w:eastAsia="仿宋" w:cs="仿宋"/>
          <w:color w:val="auto"/>
          <w:sz w:val="24"/>
          <w:highlight w:val="none"/>
        </w:rPr>
        <w:t xml:space="preserve">0.96</w:t>
      </w:r>
      <w:r>
        <w:rPr>
          <w:rFonts w:hint="eastAsia" w:ascii="仿宋" w:hAnsi="仿宋" w:eastAsia="仿宋" w:cs="仿宋"/>
          <w:color w:val="auto"/>
          <w:sz w:val="24"/>
          <w:highlight w:val="none"/>
          <w:lang w:val="en-GB"/>
        </w:rPr>
        <w:t xml:space="preserve">%收取，50-400万元区段按</w:t>
      </w:r>
      <w:r>
        <w:rPr>
          <w:rFonts w:hint="eastAsia" w:ascii="仿宋" w:hAnsi="仿宋" w:eastAsia="仿宋" w:cs="仿宋"/>
          <w:color w:val="auto"/>
          <w:sz w:val="24"/>
          <w:highlight w:val="none"/>
        </w:rPr>
        <w:t xml:space="preserve">0.9</w:t>
      </w:r>
      <w:r>
        <w:rPr>
          <w:rFonts w:hint="eastAsia" w:ascii="仿宋" w:hAnsi="仿宋" w:eastAsia="仿宋" w:cs="仿宋"/>
          <w:color w:val="auto"/>
          <w:sz w:val="24"/>
          <w:highlight w:val="none"/>
          <w:lang w:val="en-GB"/>
        </w:rPr>
        <w:t xml:space="preserve">%收取</w:t>
      </w:r>
      <w:r>
        <w:rPr>
          <w:rFonts w:hint="eastAsia" w:ascii="仿宋" w:hAnsi="仿宋" w:eastAsia="仿宋" w:cs="Arial"/>
          <w:color w:val="auto"/>
          <w:sz w:val="24"/>
          <w:highlight w:val="none"/>
          <w:lang w:val="en-GB"/>
        </w:rPr>
        <w:t xml:space="preserve">。</w:t>
      </w:r>
      <w:r>
        <w:rPr>
          <w:rFonts w:hint="eastAsia" w:ascii="仿宋" w:hAnsi="仿宋" w:eastAsia="仿宋" w:cs="仿宋"/>
          <w:color w:val="auto"/>
          <w:sz w:val="24"/>
          <w:highlight w:val="none"/>
          <w:lang w:val="en-GB"/>
        </w:rPr>
        <w:t xml:space="preserve">中标公示后，领取中标通知书时中标单位向招标代理机构一次性付清。</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供应商可对</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文件中的全部服务进行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报价，也可以对某一标段中的服务进行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报价。但对每一标段服务的报价必须全部报齐，否则响应无效。</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响应报价为一次不得更改报价，即响应报价不得有选择性报价和附有条件的报价，且不得高于采购预算价（采购需求调增除外），否则其响应无效。本条所指的一次报价为第一轮报价的一次性，第</w:t>
      </w: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条规定为磋商小组谈判后的最终报价，同样不得有选择性报价和附有条件的报价，且不得高于第一轮报价，否则其响应无效。</w:t>
      </w:r>
      <w:r>
        <w:rPr>
          <w:rFonts w:hint="eastAsia" w:ascii="仿宋" w:hAnsi="仿宋" w:eastAsia="仿宋" w:cs="仿宋"/>
          <w:b/>
          <w:color w:val="auto"/>
          <w:sz w:val="24"/>
          <w:highlight w:val="none"/>
          <w:lang w:val="zh-CN"/>
        </w:rPr>
        <w:t xml:space="preserve">供应商针对竞争性磋商报价按本条和</w:t>
      </w:r>
      <w:r>
        <w:rPr>
          <w:rFonts w:hint="eastAsia" w:ascii="仿宋" w:hAnsi="仿宋" w:eastAsia="仿宋" w:cs="仿宋"/>
          <w:b/>
          <w:color w:val="auto"/>
          <w:sz w:val="24"/>
          <w:highlight w:val="none"/>
        </w:rPr>
        <w:t xml:space="preserve">24.8</w:t>
      </w:r>
      <w:r>
        <w:rPr>
          <w:rFonts w:hint="eastAsia" w:ascii="仿宋" w:hAnsi="仿宋" w:eastAsia="仿宋" w:cs="仿宋"/>
          <w:b/>
          <w:color w:val="auto"/>
          <w:sz w:val="24"/>
          <w:highlight w:val="none"/>
          <w:lang w:val="zh-CN"/>
        </w:rPr>
        <w:t xml:space="preserve">条规定为准，涉及到报价均按此解释。</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供应商不得以任何方式或者方法提供投标以外的任何附赠条款。否则响应无效。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.5 </w:t>
      </w:r>
      <w:r>
        <w:rPr>
          <w:rFonts w:hint="eastAsia" w:ascii="仿宋" w:hAnsi="仿宋" w:eastAsia="仿宋" w:cs="仿宋"/>
          <w:color w:val="auto"/>
          <w:sz w:val="24"/>
          <w:highlight w:val="none"/>
          <w:lang w:val="zh-CN"/>
        </w:rPr>
        <w:t xml:space="preserve">供应商应按照磋商文件中报价部分要求的内容填写报价，并由法定代表人或者被授权代表签署，否则响应无效。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.6</w:t>
      </w:r>
      <w:r>
        <w:rPr>
          <w:rFonts w:hint="eastAsia" w:ascii="仿宋" w:hAnsi="仿宋" w:eastAsia="仿宋" w:cs="仿宋"/>
          <w:color w:val="auto"/>
          <w:sz w:val="24"/>
          <w:highlight w:val="none"/>
          <w:lang w:val="zh-CN"/>
        </w:rPr>
        <w:t xml:space="preserve">供应商须按照附件格式表中的各单项明细逐项填写，以方便评标委员会对各响应文件进行比较，否则其响应无效。</w:t>
      </w:r>
      <w:r/>
    </w:p>
    <w:p>
      <w:pPr>
        <w:spacing w:line="300" w:lineRule="auto"/>
        <w:tabs>
          <w:tab w:val="left" w:pos="360" w:leader="none"/>
        </w:tabs>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16</w:t>
      </w:r>
      <w:r>
        <w:rPr>
          <w:rFonts w:hint="eastAsia" w:ascii="仿宋" w:hAnsi="仿宋" w:eastAsia="仿宋" w:cs="仿宋"/>
          <w:b/>
          <w:bCs/>
          <w:color w:val="auto"/>
          <w:sz w:val="28"/>
          <w:szCs w:val="28"/>
          <w:highlight w:val="none"/>
          <w:lang w:val="zh-CN"/>
        </w:rPr>
        <w:t xml:space="preserve">.响应文件的签署</w:t>
      </w:r>
      <w:r>
        <w:rPr>
          <w:rFonts w:hint="eastAsia" w:ascii="仿宋" w:hAnsi="仿宋" w:eastAsia="仿宋" w:cs="仿宋"/>
          <w:b/>
          <w:bCs/>
          <w:color w:val="auto"/>
          <w:sz w:val="28"/>
          <w:szCs w:val="28"/>
          <w:highlight w:val="none"/>
        </w:rPr>
        <w:t xml:space="preserve">及盖章</w:t>
      </w:r>
      <w:r>
        <w:rPr>
          <w:rFonts w:hint="eastAsia" w:ascii="仿宋" w:hAnsi="仿宋" w:eastAsia="仿宋" w:cs="仿宋"/>
          <w:b/>
          <w:bCs/>
          <w:color w:val="auto"/>
          <w:sz w:val="28"/>
          <w:szCs w:val="28"/>
          <w:highlight w:val="none"/>
          <w:lang w:val="zh-CN"/>
        </w:rPr>
        <w:t xml:space="preserve">要求</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16.2响应</w:t>
      </w:r>
      <w:r>
        <w:rPr>
          <w:rFonts w:hint="eastAsia" w:ascii="仿宋" w:hAnsi="仿宋" w:eastAsia="仿宋"/>
          <w:color w:val="auto"/>
          <w:sz w:val="24"/>
          <w:highlight w:val="none"/>
          <w:lang w:val="zh-CN"/>
        </w:rPr>
        <w:t xml:space="preserve">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线上响应文件编制要求：</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一览表》（加盖电子签章，政府采购客户端工具输入报价自动生成，需分采购包编制）；</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资格条件（1-6必须提供，否则响应无效）</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108"/>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rPr>
          <w:rFonts w:ascii="仿宋" w:hAnsi="仿宋" w:eastAsia="仿宋"/>
          <w:color w:val="auto"/>
          <w:sz w:val="24"/>
          <w:highlight w:val="none"/>
        </w:rPr>
        <w:t xml:space="preserve"> </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符合条件（必须提供，否则响应无效）</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磋商声明</w:t>
      </w:r>
      <w:r>
        <w:rPr>
          <w:rFonts w:hint="eastAsia" w:ascii="仿宋" w:hAnsi="仿宋" w:eastAsia="仿宋"/>
          <w:color w:val="auto"/>
          <w:sz w:val="24"/>
          <w:highlight w:val="none"/>
          <w:lang w:val="zh-CN"/>
        </w:rPr>
        <w:t xml:space="preserve">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08"/>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08"/>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16.3.3.5政府采购诚信承诺书（加盖电子签章，格式见招标文件第十三章《响应文件相关格式》）。</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16.3.4.1.1</w:t>
      </w:r>
      <w:r>
        <w:rPr>
          <w:rFonts w:hint="eastAsia" w:ascii="仿宋" w:hAnsi="仿宋" w:eastAsia="仿宋"/>
          <w:color w:val="auto"/>
          <w:sz w:val="24"/>
          <w:highlight w:val="none"/>
          <w:lang w:val="zh-CN"/>
        </w:rPr>
        <w:t xml:space="preserve">响应报价明细表（加盖电子签章，格式见招标文件第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响应人其他证明文件及材料（要求见招标文件第四章《评标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1响应</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1.响应人应对以上文件的合法性、真实性负责。</w:t>
      </w:r>
      <w:r/>
    </w:p>
    <w:p>
      <w:pPr>
        <w:pStyle w:val="1108"/>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17</w:t>
      </w:r>
      <w:r>
        <w:rPr>
          <w:rFonts w:hint="eastAsia" w:ascii="仿宋" w:hAnsi="仿宋" w:eastAsia="仿宋" w:cs="仿宋"/>
          <w:b/>
          <w:bCs/>
          <w:color w:val="auto"/>
          <w:sz w:val="28"/>
          <w:szCs w:val="28"/>
          <w:highlight w:val="none"/>
          <w:lang w:val="zh-CN"/>
        </w:rPr>
        <w:t xml:space="preserve">.响应文件的时间单位、有效期以及费用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.1除磋商文件中另有规定外，响应文件所使用的“天”、“日”均指日历天，时、分均为北京时间。</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.2响应有效期内响应文件以及其补充、承诺等部分均保持有效。在响应有效期满之前，如果出现特殊情况，采购人或者采购代理机构可在响应有效期内要求供应商延长有效期，要求与答复均以书面</w:t>
      </w:r>
      <w:r>
        <w:rPr>
          <w:rFonts w:hint="eastAsia" w:ascii="仿宋" w:hAnsi="仿宋" w:eastAsia="仿宋" w:cs="仿宋"/>
          <w:color w:val="auto"/>
          <w:sz w:val="24"/>
          <w:highlight w:val="none"/>
        </w:rPr>
        <w:t xml:space="preserve">或网上公示</w:t>
      </w:r>
      <w:r>
        <w:rPr>
          <w:rFonts w:hint="eastAsia" w:ascii="仿宋" w:hAnsi="仿宋" w:eastAsia="仿宋" w:cs="仿宋"/>
          <w:color w:val="auto"/>
          <w:sz w:val="24"/>
          <w:highlight w:val="none"/>
          <w:lang w:val="zh-CN"/>
        </w:rPr>
        <w:t xml:space="preserve">通知为准并作为磋商文件和响应文件的组成部分；供应商可以拒绝上述要求，拒绝延长响应文件有效期的，其响应失效；同意上述要求的，既不能要求也不允许其修改响应文件。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.3供应商应自行承担其准备和参加竞争性磋商活动发生的所有费用。不论响应结果如何，采购人或者采购代理机构不承担任何费用。</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18</w:t>
      </w:r>
      <w:r>
        <w:rPr>
          <w:rFonts w:hint="eastAsia" w:ascii="仿宋" w:hAnsi="仿宋" w:eastAsia="仿宋" w:cs="仿宋"/>
          <w:b/>
          <w:bCs/>
          <w:color w:val="auto"/>
          <w:sz w:val="28"/>
          <w:szCs w:val="28"/>
          <w:highlight w:val="none"/>
          <w:lang w:val="zh-CN"/>
        </w:rPr>
        <w:t xml:space="preserve">.响应文件格式以及编制要求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供应商同时对多个标段响应的，响应文件应按所响应段分别编制。根据有关规定，响应文件按照以下要求、格式统一编制：</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供应商应当按照《江苏省政府采购管理交易系统（苏采云）供应商操作手册》规定，在投标截止时间前制作并上传电子投标文件。</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18.2.1供应商上传电子投标文件的时间不得迟于招标公告中规定的投标截止时间。</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供应商应充分考虑到网络环境、网络带宽等风险因素，如因供应商自身原因造成的电子投标文件上传不成功由供应商自行承担全部责任。</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18.2.2采购人或采购代理机构可以按照规定，通过修改招标文件酌情延长投标截止日期，在此情况下，供应商的所有权利和义务以及供应商受制的截止日期均应以延长后新的截止日期为准。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.2响应文件内容。供应商应按照磋商文件的要求以及格式编写响应文件；对磋商文件要求填写的表格或者资料不得缺少或者留空。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.4.1</w:t>
      </w:r>
      <w:r>
        <w:rPr>
          <w:rFonts w:hint="eastAsia" w:ascii="仿宋" w:hAnsi="仿宋" w:eastAsia="仿宋" w:cs="仿宋"/>
          <w:b/>
          <w:color w:val="auto"/>
          <w:sz w:val="24"/>
          <w:highlight w:val="none"/>
          <w:u w:val="single"/>
          <w:lang w:val="zh-CN"/>
        </w:rPr>
        <w:t xml:space="preserve"> 供应商应将响应书按供应商须知前附表的有关规定执行。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.5供应商可对供货现场以及其范围环境进行考察，以获取有关编制响应文件和签署实施合同所需的各项资料，供应商应承担现场考察的费用、责任和风险。</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.6供应商编制响应文件时，若有偏离之处，请如实在商务或者技术偏离表中注明。</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7除磋商文件另有规定外，供应商不得递交备选磋商方案。允许供应商递交备选磋商方案的，只有成交供应商所递交的备选磋商方案方可予以考虑。磋商小组认为成交供应商的备选磋商方案优于其按照磋商文件要求编制的磋商方案的，采购人可以接受该备选磋商方案。</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19</w:t>
      </w:r>
      <w:r>
        <w:rPr>
          <w:rFonts w:hint="eastAsia" w:ascii="仿宋" w:hAnsi="仿宋" w:eastAsia="仿宋" w:cs="仿宋"/>
          <w:b/>
          <w:bCs/>
          <w:color w:val="auto"/>
          <w:sz w:val="28"/>
          <w:szCs w:val="28"/>
          <w:highlight w:val="none"/>
          <w:lang w:val="zh-CN"/>
        </w:rPr>
        <w:t xml:space="preserve">.响应文件的组成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供应商应按照磋商文件的要求以及格式编制响应文件，并保证其真实性、准确性以及完整性，并按照磋商文件要求提交全部资料并做出实质性响应，否则其响应无效。</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19.1</w:t>
      </w:r>
      <w:r>
        <w:rPr>
          <w:rFonts w:hint="eastAsia" w:ascii="仿宋" w:hAnsi="仿宋" w:eastAsia="仿宋" w:cs="仿宋"/>
          <w:b/>
          <w:color w:val="auto"/>
          <w:sz w:val="24"/>
          <w:highlight w:val="none"/>
          <w:lang w:val="zh-CN"/>
        </w:rPr>
        <w:t xml:space="preserve">响应文件的组成</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1.1首轮报价一览表</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hint="eastAsia" w:ascii="仿宋" w:hAnsi="仿宋" w:eastAsia="仿宋"/>
          <w:color w:val="auto"/>
          <w:sz w:val="24"/>
          <w:highlight w:val="none"/>
          <w:lang w:val="zh-CN"/>
        </w:rPr>
        <w:t xml:space="preserve">；</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1.6磋商</w:t>
      </w:r>
      <w:r>
        <w:rPr>
          <w:rFonts w:ascii="仿宋" w:hAnsi="仿宋" w:eastAsia="仿宋"/>
          <w:color w:val="auto"/>
          <w:sz w:val="24"/>
          <w:highlight w:val="none"/>
          <w:lang w:val="zh-CN"/>
        </w:rPr>
        <w:t xml:space="preserve">文件要求或者供应商认为其它应介绍或者提交的资料和文件</w:t>
      </w:r>
      <w:r>
        <w:rPr>
          <w:rFonts w:hint="eastAsia" w:ascii="仿宋" w:hAnsi="仿宋" w:eastAsia="仿宋"/>
          <w:color w:val="auto"/>
          <w:sz w:val="24"/>
          <w:highlight w:val="none"/>
          <w:lang w:val="zh-CN"/>
        </w:rPr>
        <w:t xml:space="preserve">；</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19.2</w:t>
      </w:r>
      <w:r>
        <w:rPr>
          <w:rFonts w:hint="eastAsia" w:ascii="仿宋" w:hAnsi="仿宋" w:eastAsia="仿宋" w:cs="仿宋"/>
          <w:b/>
          <w:color w:val="auto"/>
          <w:sz w:val="24"/>
          <w:highlight w:val="none"/>
          <w:lang w:val="zh-CN"/>
        </w:rPr>
        <w:t xml:space="preserve">磋商文件其它规定或者供应商认为应介绍或者提交的资料和文件。</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20</w:t>
      </w:r>
      <w:r>
        <w:rPr>
          <w:rFonts w:hint="eastAsia" w:ascii="仿宋" w:hAnsi="仿宋" w:eastAsia="仿宋" w:cs="仿宋"/>
          <w:b/>
          <w:bCs/>
          <w:color w:val="auto"/>
          <w:sz w:val="28"/>
          <w:szCs w:val="28"/>
          <w:highlight w:val="none"/>
          <w:lang w:val="zh-CN"/>
        </w:rPr>
        <w:t xml:space="preserve">.磋商保证金</w:t>
      </w:r>
      <w:r/>
    </w:p>
    <w:p>
      <w:pPr>
        <w:ind w:firstLine="480"/>
        <w:spacing w:line="300" w:lineRule="auto"/>
        <w:rPr>
          <w:rFonts w:ascii="仿宋" w:hAnsi="仿宋" w:eastAsia="仿宋" w:cs="仿宋"/>
          <w:bCs/>
          <w:color w:val="auto"/>
          <w:sz w:val="24"/>
          <w:szCs w:val="28"/>
          <w:highlight w:val="none"/>
          <w:lang w:val="zh-CN"/>
        </w:rPr>
      </w:pPr>
      <w:r>
        <w:rPr>
          <w:rFonts w:hint="eastAsia" w:ascii="仿宋" w:hAnsi="仿宋" w:eastAsia="仿宋" w:cs="仿宋"/>
          <w:bCs/>
          <w:color w:val="auto"/>
          <w:sz w:val="24"/>
          <w:szCs w:val="28"/>
          <w:highlight w:val="none"/>
          <w:lang w:val="zh-CN"/>
        </w:rPr>
        <w:t xml:space="preserve">参照省财政厅《关于做好政府采购支持企业发展有关事项的通知》（苏财购【2020】52号）规定，无磋商保证金要求。</w:t>
      </w:r>
      <w:bookmarkEnd w:id="40"/>
      <w:r/>
      <w:r/>
    </w:p>
    <w:p>
      <w:pPr>
        <w:pStyle w:val="1164"/>
        <w:rPr>
          <w:color w:val="auto"/>
          <w:highlight w:val="none"/>
          <w:lang w:val="zh-CN"/>
        </w:rPr>
      </w:pPr>
      <w:r>
        <w:rPr>
          <w:color w:val="auto"/>
          <w:highlight w:val="none"/>
          <w:lang w:val="zh-CN"/>
        </w:rPr>
      </w:r>
      <w:r/>
    </w:p>
    <w:p>
      <w:pPr>
        <w:pStyle w:val="1104"/>
        <w:jc w:val="center"/>
        <w:spacing w:before="0" w:after="0" w:line="300" w:lineRule="auto"/>
        <w:rPr>
          <w:rFonts w:ascii="仿宋" w:hAnsi="仿宋" w:eastAsia="仿宋" w:cs="仿宋"/>
          <w:color w:val="auto"/>
          <w:highlight w:val="none"/>
          <w:lang w:val="zh-CN"/>
        </w:rPr>
      </w:pPr>
      <w:r/>
      <w:bookmarkStart w:id="50" w:name="_Toc329009666"/>
      <w:r>
        <w:rPr>
          <w:rFonts w:hint="eastAsia" w:ascii="仿宋" w:hAnsi="仿宋" w:eastAsia="仿宋" w:cs="仿宋"/>
          <w:color w:val="auto"/>
          <w:sz w:val="28"/>
          <w:szCs w:val="28"/>
          <w:highlight w:val="none"/>
        </w:rPr>
        <w:t xml:space="preserve">第四章  供应商应当提交的资格、资信证明文件</w:t>
      </w:r>
      <w:bookmarkEnd w:id="50"/>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21</w:t>
      </w:r>
      <w:r>
        <w:rPr>
          <w:rFonts w:hint="eastAsia" w:ascii="仿宋" w:hAnsi="仿宋" w:eastAsia="仿宋" w:cs="仿宋"/>
          <w:b/>
          <w:bCs/>
          <w:color w:val="auto"/>
          <w:sz w:val="28"/>
          <w:szCs w:val="28"/>
          <w:highlight w:val="none"/>
          <w:lang w:val="zh-CN"/>
        </w:rPr>
        <w:t xml:space="preserve">.供应商必须提供下列证明材料，如未能提供相关资格证明材料，则其所磋商响应书无效。</w:t>
      </w:r>
      <w:bookmarkEnd w:id="41"/>
      <w:r/>
      <w:bookmarkStart w:id="51" w:name="_Toc329009673"/>
      <w:r/>
      <w:bookmarkStart w:id="52" w:name="_Toc294814255"/>
      <w:r/>
      <w:bookmarkStart w:id="53" w:name="_Toc245133950"/>
      <w:r/>
      <w:bookmarkStart w:id="54" w:name="_Toc365752095"/>
      <w:r/>
      <w:bookmarkStart w:id="55" w:name="_Toc294814447"/>
      <w:r/>
      <w:bookmarkStart w:id="56" w:name="_Toc365292223"/>
      <w:r/>
      <w:bookmarkStart w:id="57" w:name="_Toc294814069"/>
      <w:r/>
      <w:bookmarkStart w:id="58" w:name="_Toc309596157"/>
      <w:r/>
      <w:bookmarkStart w:id="59" w:name="_Toc294814633"/>
      <w:r/>
      <w:bookmarkStart w:id="60" w:name="_Toc228850282"/>
      <w:r/>
      <w:bookmarkStart w:id="61" w:name="_Toc292632465"/>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u w:val="single"/>
          <w:lang w:val="zh-CN"/>
        </w:rPr>
        <w:t xml:space="preserve">见磋商公告供应商资质及有关要求。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供应商所提供的证明材料若违反下列规定情形之一的，其响应无效。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.1</w:t>
      </w:r>
      <w:r>
        <w:rPr>
          <w:rFonts w:hint="eastAsia" w:ascii="仿宋" w:hAnsi="仿宋" w:eastAsia="仿宋" w:cs="仿宋"/>
          <w:color w:val="auto"/>
          <w:sz w:val="24"/>
          <w:highlight w:val="none"/>
          <w:lang w:val="zh-CN"/>
        </w:rPr>
        <w:t xml:space="preserve">供应商提供的资格证明材料必须真实、有效、齐全、完整，其中的字体、印章要清晰。</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营业执照副本等在年检期间无法提供的，必须提供由发证机关出具证明材料或者由公证机关出具的公证件。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要求提供的证明材料</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为扫描件。</w:t>
      </w:r>
      <w:r/>
    </w:p>
    <w:p>
      <w:pPr>
        <w:ind w:firstLine="482"/>
        <w:spacing w:line="300" w:lineRule="auto"/>
        <w:rPr>
          <w:rFonts w:ascii="仿宋" w:hAnsi="仿宋" w:eastAsia="仿宋" w:cs="仿宋"/>
          <w:b/>
          <w:color w:val="auto"/>
          <w:sz w:val="24"/>
          <w:highlight w:val="none"/>
          <w:u w:val="single"/>
          <w:lang w:val="zh-CN"/>
        </w:rPr>
      </w:pPr>
      <w:r>
        <w:rPr>
          <w:rFonts w:ascii="仿宋" w:hAnsi="仿宋" w:eastAsia="仿宋" w:cs="仿宋"/>
          <w:b/>
          <w:color w:val="auto"/>
          <w:sz w:val="24"/>
          <w:highlight w:val="none"/>
          <w:u w:val="single"/>
          <w:lang w:val="zh-CN"/>
        </w:rPr>
      </w:r>
      <w:r/>
    </w:p>
    <w:p>
      <w:pPr>
        <w:pStyle w:val="1104"/>
        <w:jc w:val="center"/>
        <w:spacing w:before="0" w:after="0" w:line="3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响应截止时间、开标时间以及地点</w:t>
      </w:r>
      <w:r/>
    </w:p>
    <w:p>
      <w:pPr>
        <w:spacing w:line="300" w:lineRule="auto"/>
        <w:rPr>
          <w:rFonts w:ascii="仿宋" w:hAnsi="仿宋" w:eastAsia="仿宋" w:cs="仿宋"/>
          <w:b/>
          <w:bCs/>
          <w:color w:val="auto"/>
          <w:sz w:val="28"/>
          <w:szCs w:val="28"/>
          <w:highlight w:val="none"/>
          <w:lang w:val="zh-CN"/>
        </w:rPr>
      </w:pPr>
      <w:r/>
      <w:bookmarkStart w:id="62" w:name="_Toc329009668"/>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.1供应商就在</w:t>
      </w:r>
      <w:r>
        <w:rPr>
          <w:rFonts w:hint="eastAsia" w:ascii="仿宋" w:hAnsi="仿宋" w:eastAsia="仿宋" w:cs="仿宋"/>
          <w:color w:val="auto"/>
          <w:sz w:val="24"/>
          <w:highlight w:val="none"/>
        </w:rPr>
        <w:t xml:space="preserve">供应商须知</w:t>
      </w:r>
      <w:r>
        <w:rPr>
          <w:rFonts w:hint="eastAsia" w:ascii="仿宋" w:hAnsi="仿宋" w:eastAsia="仿宋" w:cs="仿宋"/>
          <w:color w:val="auto"/>
          <w:sz w:val="24"/>
          <w:highlight w:val="none"/>
          <w:lang w:val="zh-CN"/>
        </w:rPr>
        <w:t xml:space="preserve">前附表规定的响应截止时间前递交响应文件。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.2开标时间、地点：见供应商须知前附表规定。</w:t>
      </w:r>
      <w:r/>
    </w:p>
    <w:p>
      <w:pPr>
        <w:ind w:firstLine="482"/>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22</w:t>
      </w:r>
      <w:r>
        <w:rPr>
          <w:rFonts w:hint="eastAsia" w:ascii="仿宋" w:hAnsi="仿宋" w:eastAsia="仿宋" w:cs="仿宋"/>
          <w:b/>
          <w:bCs/>
          <w:color w:val="auto"/>
          <w:sz w:val="24"/>
          <w:highlight w:val="none"/>
          <w:lang w:val="zh-CN"/>
        </w:rPr>
        <w:t xml:space="preserve">.3密封（加密）要求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22.3.1</w:t>
      </w:r>
      <w:r>
        <w:rPr>
          <w:rFonts w:hint="eastAsia" w:ascii="仿宋" w:hAnsi="仿宋" w:eastAsia="仿宋" w:cs="仿宋"/>
          <w:color w:val="auto"/>
          <w:sz w:val="24"/>
          <w:highlight w:val="none"/>
          <w:lang w:val="zh-CN"/>
        </w:rPr>
        <w:t xml:space="preserve"> 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22.3.2</w:t>
      </w:r>
      <w:r>
        <w:rPr>
          <w:rFonts w:hint="eastAsia" w:ascii="仿宋" w:hAnsi="仿宋" w:eastAsia="仿宋" w:cs="仿宋"/>
          <w:color w:val="auto"/>
          <w:sz w:val="24"/>
          <w:highlight w:val="none"/>
          <w:lang w:val="zh-CN"/>
        </w:rPr>
        <w:t xml:space="preserve"> 签署要求：见《磋商文件》附件中相关格式要求。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22.3.3</w:t>
      </w:r>
      <w:r>
        <w:rPr>
          <w:rFonts w:hint="eastAsia" w:ascii="仿宋" w:hAnsi="仿宋" w:eastAsia="仿宋" w:cs="仿宋"/>
          <w:color w:val="auto"/>
          <w:sz w:val="24"/>
          <w:highlight w:val="none"/>
          <w:lang w:val="zh-CN"/>
        </w:rPr>
        <w:t xml:space="preserve">盖章要求：见《磋商文件》附件中相关格式要求。供应商须通过“苏采云”系统提供的政府采购客户端工具（使用“CA数字证书”）加盖电子签章。</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22.3.4</w:t>
      </w:r>
      <w:r>
        <w:rPr>
          <w:rFonts w:hint="eastAsia" w:ascii="仿宋" w:hAnsi="仿宋" w:eastAsia="仿宋" w:cs="仿宋"/>
          <w:color w:val="auto"/>
          <w:sz w:val="24"/>
          <w:highlight w:val="none"/>
          <w:lang w:val="zh-CN"/>
        </w:rPr>
        <w:t xml:space="preserve"> </w:t>
      </w:r>
      <w:r>
        <w:rPr>
          <w:rFonts w:hint="eastAsia" w:ascii="仿宋" w:hAnsi="仿宋" w:eastAsia="仿宋" w:cs="仿宋"/>
          <w:b/>
          <w:bCs/>
          <w:color w:val="auto"/>
          <w:sz w:val="24"/>
          <w:highlight w:val="none"/>
          <w:lang w:val="zh-CN"/>
        </w:rPr>
        <w:t xml:space="preserve">特别提醒：</w:t>
      </w:r>
      <w:r>
        <w:rPr>
          <w:rFonts w:hint="eastAsia" w:ascii="仿宋" w:hAnsi="仿宋" w:eastAsia="仿宋" w:cs="仿宋"/>
          <w:color w:val="auto"/>
          <w:sz w:val="24"/>
          <w:highlight w:val="none"/>
          <w:lang w:val="zh-CN"/>
        </w:rPr>
        <w:t xml:space="preserve">竞争性磋商文件中如需“被授权代表签字或盖章”，供应商可打印成文档，签字或盖章后再扫描上传，最后再电子签章。</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rPr>
        <w:t xml:space="preserve">22.3.5</w:t>
      </w:r>
      <w:r>
        <w:rPr>
          <w:rFonts w:hint="eastAsia" w:ascii="仿宋" w:hAnsi="仿宋" w:eastAsia="仿宋" w:cs="仿宋"/>
          <w:b/>
          <w:bCs/>
          <w:color w:val="auto"/>
          <w:sz w:val="24"/>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bookmarkStart w:id="63" w:name="4.3.响应文件的修改和撤回"/>
      <w:r/>
      <w:bookmarkEnd w:id="63"/>
      <w:r>
        <w:rPr>
          <w:rFonts w:hint="eastAsia" w:ascii="仿宋" w:hAnsi="仿宋" w:eastAsia="仿宋" w:cs="仿宋"/>
          <w:color w:val="auto"/>
          <w:sz w:val="24"/>
          <w:highlight w:val="none"/>
        </w:rPr>
        <w:t xml:space="preserve">22.3.5.1</w:t>
      </w: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22.3.5.2</w:t>
      </w: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22.3.5.3</w:t>
      </w: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22.3.5.4</w:t>
      </w: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，点击“苏采云”进入系统），按照要求通过互联网方式提交首次响应文件。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w:t>
      </w:r>
      <w:r>
        <w:rPr>
          <w:rFonts w:hint="eastAsia" w:ascii="仿宋" w:hAnsi="仿宋" w:eastAsia="仿宋" w:cs="仿宋"/>
          <w:color w:val="auto"/>
          <w:sz w:val="24"/>
          <w:highlight w:val="none"/>
          <w:lang w:val="zh-CN"/>
        </w:rPr>
        <w:t xml:space="preserve">“苏采云”系统使用要求：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22.3.5.5.1</w:t>
      </w:r>
      <w:r>
        <w:rPr>
          <w:rFonts w:hint="eastAsia" w:ascii="仿宋" w:hAnsi="仿宋" w:eastAsia="仿宋" w:cs="仿宋"/>
          <w:color w:val="auto"/>
          <w:sz w:val="24"/>
          <w:highlight w:val="none"/>
          <w:lang w:val="zh-CN"/>
        </w:rPr>
        <w:t xml:space="preserve">使用谷歌浏览器参与不见面开标及磋商环节。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22.3.5.5.2</w:t>
      </w:r>
      <w:r>
        <w:rPr>
          <w:rFonts w:hint="eastAsia" w:ascii="仿宋" w:hAnsi="仿宋" w:eastAsia="仿宋" w:cs="仿宋"/>
          <w:color w:val="auto"/>
          <w:sz w:val="24"/>
          <w:highlight w:val="none"/>
          <w:lang w:val="zh-CN"/>
        </w:rPr>
        <w:t xml:space="preserve">电脑需提前准备好麦克风、音响，摄像头，提前检查保证能够正常使用。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22.3.5.5.3</w:t>
      </w:r>
      <w:r>
        <w:rPr>
          <w:rFonts w:hint="eastAsia" w:ascii="仿宋" w:hAnsi="仿宋" w:eastAsia="仿宋" w:cs="仿宋"/>
          <w:color w:val="auto"/>
          <w:sz w:val="24"/>
          <w:highlight w:val="none"/>
          <w:lang w:val="zh-CN"/>
        </w:rPr>
        <w:t xml:space="preserve">操作系统至少win7以上，建议使用win10操作系统。</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22.3.5.5.4</w:t>
      </w:r>
      <w:r>
        <w:rPr>
          <w:rFonts w:hint="eastAsia" w:ascii="仿宋" w:hAnsi="仿宋" w:eastAsia="仿宋" w:cs="仿宋"/>
          <w:color w:val="auto"/>
          <w:sz w:val="24"/>
          <w:highlight w:val="none"/>
          <w:lang w:val="zh-CN"/>
        </w:rPr>
        <w:t xml:space="preserve">通过“苏采云”系统提交政府采购客户端工具导出加密的响应文件（后缀名为zip）。响应文件不得超过350M！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注：供应商应当按照《磋商文件》的要求编制响应文件，并对其提交的响应文件的真实性、合法性承担法律责任。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.响应文件的修改与撤回</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104"/>
        <w:jc w:val="center"/>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第六章  磋商、评标、中标以及废标</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23</w:t>
      </w:r>
      <w:r>
        <w:rPr>
          <w:rFonts w:hint="eastAsia" w:ascii="仿宋" w:hAnsi="仿宋" w:eastAsia="仿宋" w:cs="仿宋"/>
          <w:b/>
          <w:bCs/>
          <w:color w:val="auto"/>
          <w:sz w:val="28"/>
          <w:szCs w:val="28"/>
          <w:highlight w:val="none"/>
          <w:lang w:val="zh-CN"/>
        </w:rPr>
        <w:t xml:space="preserve">.响应文件截止时间和地点</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采购人或采购代理机构在供应商须知前附表规定的时间和地点举行磋商会议。</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在截止时间后提交的首次响应文件为无效文件，将被拒收。</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24</w:t>
      </w:r>
      <w:r>
        <w:rPr>
          <w:rFonts w:hint="eastAsia" w:ascii="仿宋" w:hAnsi="仿宋" w:eastAsia="仿宋" w:cs="仿宋"/>
          <w:b/>
          <w:bCs/>
          <w:color w:val="auto"/>
          <w:sz w:val="28"/>
          <w:szCs w:val="28"/>
          <w:highlight w:val="none"/>
          <w:lang w:val="zh-CN"/>
        </w:rPr>
        <w:t xml:space="preserve">.磋商程序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24.1被邀请参与磋商的供应商需按本竞争性磋商文件要求的截止时间、方式（地点）提交首次响应文件，同时派人通过“苏采云”系统在“开标大厅”等待磋商。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24.2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24.3磋商顺序按照电子标书解密先后时间进行，解密时间相同的，不分先后顺序。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24.5未在规定时间内进行答疑澄清的，视同放弃澄清。</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24.6未在规定时间内进行报价的，视为响应无效。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24.7被邀请参与磋商的供应商如未按上述磋商要求执行，视同放弃磋商的权利。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24.9</w:t>
      </w:r>
      <w:r>
        <w:rPr>
          <w:rFonts w:hint="eastAsia" w:ascii="仿宋" w:hAnsi="仿宋" w:eastAsia="仿宋" w:cs="仿宋"/>
          <w:color w:val="auto"/>
          <w:sz w:val="24"/>
          <w:highlight w:val="none"/>
          <w:lang w:val="zh-CN"/>
        </w:rPr>
        <w:t xml:space="preserve">经磋商确定最终采购需求，由磋商小组采用综合评分法对供应商的响应文件进行综合评分。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24.10</w:t>
      </w:r>
      <w:r>
        <w:rPr>
          <w:rFonts w:hint="eastAsia" w:ascii="仿宋" w:hAnsi="仿宋" w:eastAsia="仿宋" w:cs="仿宋"/>
          <w:color w:val="auto"/>
          <w:sz w:val="24"/>
          <w:highlight w:val="none"/>
          <w:lang w:val="zh-CN"/>
        </w:rPr>
        <w:t xml:space="preserve">磋商小组根据磋商成交原则确定成交供应商，并将结果通知所有参加磋商的供应商。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24.11</w:t>
      </w:r>
      <w:r>
        <w:rPr>
          <w:rFonts w:hint="eastAsia" w:ascii="仿宋" w:hAnsi="仿宋" w:eastAsia="仿宋" w:cs="仿宋"/>
          <w:color w:val="auto"/>
          <w:sz w:val="24"/>
          <w:highlight w:val="none"/>
          <w:lang w:val="zh-CN"/>
        </w:rPr>
        <w:t xml:space="preserve">如磋商过程中出现本磋商文件未尽事宜，由磋商小组根据政府采购有关法律、法规讨论决定。</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24.12注意事项：</w:t>
      </w:r>
      <w:r/>
    </w:p>
    <w:p>
      <w:pPr>
        <w:pStyle w:val="1108"/>
        <w:ind w:firstLine="480"/>
        <w:spacing w:line="300" w:lineRule="auto"/>
        <w:rPr>
          <w:color w:val="auto"/>
          <w:highlight w:val="none"/>
        </w:rPr>
      </w:pPr>
      <w:r>
        <w:rPr>
          <w:rFonts w:hint="eastAsia" w:ascii="仿宋" w:hAnsi="仿宋" w:eastAsia="仿宋"/>
          <w:color w:val="auto"/>
          <w:sz w:val="24"/>
          <w:highlight w:val="none"/>
        </w:rPr>
        <w:t xml:space="preserve">24.12.1开标时供应商须在规定时间内进行响应文件解密，报价确认；</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24.12.2评审中供应商应随时关注电脑，需依据电脑提示进行磋商并及时进行二次或最终报价；</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24.12.3各响应人在项目评标结束之前不要擅自离开“苏采云”交易系统开标大厅，待评审专家开启最终报价程序后，及时准确完成最终报价。</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25</w:t>
      </w:r>
      <w:r>
        <w:rPr>
          <w:rFonts w:hint="eastAsia" w:ascii="仿宋" w:hAnsi="仿宋" w:eastAsia="仿宋" w:cs="仿宋"/>
          <w:b/>
          <w:bCs/>
          <w:color w:val="auto"/>
          <w:sz w:val="28"/>
          <w:szCs w:val="28"/>
          <w:highlight w:val="none"/>
          <w:lang w:val="zh-CN"/>
        </w:rPr>
        <w:t xml:space="preserve">.开标</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25.1采购人或采购代理机构</w:t>
      </w:r>
      <w:r>
        <w:rPr>
          <w:rFonts w:hint="eastAsia" w:ascii="仿宋" w:hAnsi="仿宋" w:eastAsia="仿宋"/>
          <w:color w:val="auto"/>
          <w:sz w:val="24"/>
          <w:highlight w:val="none"/>
          <w:lang w:val="zh-CN"/>
        </w:rPr>
        <w:t xml:space="preserve">将在招标公告中规定的时间和地点组织公开开标。</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人应当按照《江苏省政府采购管理交易系统（苏采云）供应商操作手册》规定，参加开标活动。</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25.2响应</w:t>
      </w:r>
      <w:r>
        <w:rPr>
          <w:rFonts w:hint="eastAsia" w:ascii="仿宋" w:hAnsi="仿宋" w:eastAsia="仿宋"/>
          <w:color w:val="auto"/>
          <w:sz w:val="24"/>
          <w:highlight w:val="none"/>
          <w:lang w:val="zh-CN"/>
        </w:rPr>
        <w:t xml:space="preserve">人在开标过程中涉及到的投标文件解密、开标结果确认等工作，应按照《江苏省政府采购管理交易系统（苏采云）供应商操作手册》规定执行。每个供应商的解密时长为6分钟，超时视同解密失败。</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25.3</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w:t>
      </w:r>
      <w:r/>
    </w:p>
    <w:p>
      <w:pPr>
        <w:ind w:firstLine="480"/>
        <w:spacing w:line="300" w:lineRule="auto"/>
        <w:rPr>
          <w:rFonts w:eastAsia="仿宋"/>
          <w:color w:val="auto"/>
          <w:highlight w:val="none"/>
        </w:rPr>
      </w:pPr>
      <w:r>
        <w:rPr>
          <w:rFonts w:hint="eastAsia" w:ascii="仿宋" w:hAnsi="仿宋" w:eastAsia="仿宋"/>
          <w:color w:val="auto"/>
          <w:sz w:val="24"/>
          <w:highlight w:val="none"/>
        </w:rPr>
        <w:t xml:space="preserve">25.4解密完成后由磋商小组进行资格审查并邀请响应人进行磋商，</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rPr>
          <w:rFonts w:hint="eastAsia" w:ascii="仿宋" w:hAnsi="仿宋" w:eastAsia="仿宋"/>
          <w:color w:val="auto"/>
          <w:sz w:val="24"/>
          <w:highlight w:val="none"/>
          <w:lang w:val="zh-CN"/>
        </w:rPr>
        <w:t xml:space="preserve">并宣读各</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人的《</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25.5响应</w:t>
      </w:r>
      <w:r>
        <w:rPr>
          <w:rFonts w:hint="eastAsia" w:ascii="仿宋" w:hAnsi="仿宋" w:eastAsia="仿宋"/>
          <w:color w:val="auto"/>
          <w:sz w:val="24"/>
          <w:highlight w:val="none"/>
          <w:lang w:val="zh-CN"/>
        </w:rPr>
        <w:t xml:space="preserve">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rPr>
          <w:rFonts w:hint="eastAsia" w:ascii="仿宋" w:hAnsi="仿宋" w:eastAsia="仿宋"/>
          <w:color w:val="auto"/>
          <w:sz w:val="24"/>
          <w:highlight w:val="none"/>
          <w:lang w:val="zh-CN"/>
        </w:rPr>
        <w:t xml:space="preserve">宣布后5分钟内未提出的，视同认可开标结果。</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25.6</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25.7</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00" w:lineRule="auto"/>
        <w:tabs>
          <w:tab w:val="left" w:pos="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响应文件有下列情况之一，采购人或者采购代理机构不予受理：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.1逾期</w:t>
      </w:r>
      <w:r>
        <w:rPr>
          <w:rFonts w:hint="eastAsia" w:ascii="仿宋" w:hAnsi="仿宋" w:eastAsia="仿宋" w:cs="仿宋"/>
          <w:color w:val="auto"/>
          <w:sz w:val="24"/>
          <w:highlight w:val="none"/>
        </w:rPr>
        <w:t xml:space="preserve">上传</w:t>
      </w:r>
      <w:r>
        <w:rPr>
          <w:rFonts w:hint="eastAsia" w:ascii="仿宋" w:hAnsi="仿宋" w:eastAsia="仿宋" w:cs="仿宋"/>
          <w:color w:val="auto"/>
          <w:sz w:val="24"/>
          <w:highlight w:val="none"/>
          <w:lang w:val="zh-CN"/>
        </w:rPr>
        <w:t xml:space="preserve">的或者未</w:t>
      </w:r>
      <w:r>
        <w:rPr>
          <w:rFonts w:hint="eastAsia" w:ascii="仿宋" w:hAnsi="仿宋" w:eastAsia="仿宋" w:cs="仿宋"/>
          <w:color w:val="auto"/>
          <w:sz w:val="24"/>
          <w:highlight w:val="none"/>
        </w:rPr>
        <w:t xml:space="preserve">按规定要求上传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2违反招标、磋商响应纪律的；</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供应商对开标有异议的，应当在开标现场以书面形式（</w:t>
      </w:r>
      <w:r>
        <w:rPr>
          <w:rFonts w:hint="eastAsia" w:ascii="仿宋" w:hAnsi="仿宋" w:eastAsia="仿宋" w:cs="仿宋"/>
          <w:color w:val="auto"/>
          <w:sz w:val="24"/>
          <w:highlight w:val="none"/>
        </w:rPr>
        <w:t xml:space="preserve">或网上聊天</w:t>
      </w:r>
      <w:r>
        <w:rPr>
          <w:rFonts w:hint="eastAsia" w:ascii="仿宋" w:hAnsi="仿宋" w:eastAsia="仿宋" w:cs="仿宋"/>
          <w:color w:val="auto"/>
          <w:sz w:val="24"/>
          <w:highlight w:val="none"/>
          <w:lang w:val="zh-CN"/>
        </w:rPr>
        <w:t xml:space="preserve">）提出，采购人或者采购代理机构应当场给予答复，并制作记录，采购人代表、采购代理机构、监督人签字确认。采用不见面开标的其供应商法定代表人（或者被授权代表）仅须在视频会议中确认。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zh-CN"/>
        </w:rPr>
        <w:t xml:space="preserve">参加开标会议的采购人代表不得参加本项目评审；开标记录由采购代理机构保存，在商务打分结束后提交磋商小组审核。</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26</w:t>
      </w:r>
      <w:r>
        <w:rPr>
          <w:rFonts w:hint="eastAsia" w:ascii="仿宋" w:hAnsi="仿宋" w:eastAsia="仿宋" w:cs="仿宋"/>
          <w:b/>
          <w:bCs/>
          <w:color w:val="auto"/>
          <w:sz w:val="28"/>
          <w:szCs w:val="28"/>
          <w:highlight w:val="none"/>
          <w:lang w:val="zh-CN"/>
        </w:rPr>
        <w:t xml:space="preserve">.磋商小组</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.1磋商小组的组成</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采购人按照《中华人民共和国政府采购法》以及有关规定组建磋商小组。评标由依法组建的磋商小组负责。磋商小组由采购人代表和评标专家共同组成，成员人数为三人以上单数，其中采购人代表只限一人。</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.2评审专家的抽取</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.2.1采用随机抽取方式从财政部门依法设立的专家库中确定磋商小组成员。任何单位和个人都不得指定评审专家或干预评审专家的抽取工作。</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.2.2参加评审专家抽取的有关人员对被抽取的专家的姓名、单位和联系方式等内容负有保密的义务。磋商小组成员的名单在中标结果确定前必须严格保密。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.3磋商小组成员不得参加与自己有利害关系的评审活动，与自己有利害关系的应当回避，已经进入的必须更换。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.4磋商小组负责对各响应文件进行评审、比较、评定，并按本磋商文件的规定确定成交供应商或者推荐中标候选人。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5磋商小组具有依据磋商文件进行独立评标的权力，且不受外界任何因素的干扰。磋商小组成员必须独立、负责地提出评审意见，并对自己的评审意见承担责任。对评标结果有不同意见的磋商小组成员应当以书面形式说明其不同意见和理由，评标报告应当注明不同意见。评审委员会成员拒绝评审或者拒绝在评标报告上签字并且又不书面说明其不同意见和理由的，视为同意评标结果。</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.6磋商小组的职责：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.6.1审查响应文件是否符合磋商文件要求，进行资格性审查和符合性审查，并做出评价；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.6.2要求供应商对响应文件有关事项做出解释或者澄清；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.6.3推荐中标候选人名单，或者受采购人委托按照事先确定的办法直接确定成交供应商；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.6.4向采购人、采购代理机构或者有关部门报告非法干预评标工作的行为。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.7磋商小组的义务：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.7.1遵纪守法，客观、公正、廉洁地履行职责；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.7.2提出真实、可靠的评审意见；</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.7.3严格遵守评标纪律，不得向外界泄露评标情况；</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.7.4发现供应商在招磋商响应活动中有不正当竞争或者恶意串通等违规行为，应及时向财政部门报告并加以制止；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.7.5按照磋商文件规定的评标方法和评标标准进行评标，对评标意见承担个人责任；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.7.6参与并审定评标报告；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.7.7配合采购人或者采购代理机构答复供应商提出的质疑；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.7.8对评标过程和结果，以及采购人、供应商的商业秘密保密；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.7.9配合财政部门处理投诉。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.8磋商小组成员有下列情形之一的，应当回避：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.8.1供应商或者供应商主要负责人的近亲属；</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.8.2项目主管部门或者行政监督部门的人员；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.8.3与供应商有经济利益关系；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.8.4曾因在磋商、评标以及其他与招标磋商响应有关系活动中从事违法行为而受到行政处罚或者刑事处罚的；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.8.5与供应商有其他利害关系。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27</w:t>
      </w:r>
      <w:r>
        <w:rPr>
          <w:rFonts w:hint="eastAsia" w:ascii="仿宋" w:hAnsi="仿宋" w:eastAsia="仿宋" w:cs="仿宋"/>
          <w:b/>
          <w:bCs/>
          <w:color w:val="auto"/>
          <w:sz w:val="28"/>
          <w:szCs w:val="28"/>
          <w:highlight w:val="none"/>
          <w:lang w:val="zh-CN"/>
        </w:rPr>
        <w:t xml:space="preserve">.评标程序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.1宣布评标纪律以及回避提示；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.2组织推荐磋商小组组长；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.3资格性审查；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.4符合性审查；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.5技术评审；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.6澄清有关问题；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.7综合打分；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.8确定成交供应商或者推荐中标候选人名单；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.9编写评标报告。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.10宣布评标结果。</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28</w:t>
      </w:r>
      <w:r>
        <w:rPr>
          <w:rFonts w:hint="eastAsia" w:ascii="仿宋" w:hAnsi="仿宋" w:eastAsia="仿宋" w:cs="仿宋"/>
          <w:b/>
          <w:bCs/>
          <w:color w:val="auto"/>
          <w:sz w:val="28"/>
          <w:szCs w:val="28"/>
          <w:highlight w:val="none"/>
          <w:lang w:val="zh-CN"/>
        </w:rPr>
        <w:t xml:space="preserve">.评标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.1第一阶段：资格性审查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.1.1依据法律法规和磋商文件的规定，对所有供应商的商务部分响应文件中的资格证明等进行审查，并确定供应商磋商响应资格。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.2第二阶段：符合性审查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依据磋商文件的规定，对供应商响应文件的有效性、完整性以及对磋商文件的响应程度进行审查，以判定是否对磋商文件的实质性要求做出响应。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3在资格性和符合性审查同时，对不合格供应商或者响应无效的供应商，采购人及其代理机构必须提出不合格或者响应无效的事实依据，并出具不合格或者响应无效说明，采购人及其代理机构参加的全体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.4第三阶段：技术和综合实力评审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.4.1按照磋商文件要求，审查供应商所投货物和服务的规格、质量、数量以及服务等技术要求和参数，并记录实质性响应、技术偏离等事项，进行技术部分的评审。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.4.2按照磋商文件要求，审查供应商业绩、政策性加分等进行综合实力部分评审，并记录相关事项。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.5技术和综合实力打分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资格性审查和符合性审查结束后，磋商小组按照评标办法和标准进行比较和评价。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部分由磋商小组成员各自独立打分，按照本磋商文件规定的评标办法进行逐项打分，对客观评分项的评分应当一致，对需要借助专业知识评判的主观评分项应当严格按照评分标准公正评分。供应商的技术得分是由磋商小组成员打分中去掉最高分和最低分后的算术平均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综合实力部分打分由磋商小组审核认定评分结果。</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技术和综合实力部分打分结束，磋商小组成员签字确认。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.6综合实力和技术评审加分详见本磋商文件第十</w:t>
      </w:r>
      <w:r>
        <w:rPr>
          <w:rFonts w:hint="eastAsia" w:ascii="仿宋" w:hAnsi="仿宋" w:eastAsia="仿宋" w:cs="仿宋"/>
          <w:color w:val="auto"/>
          <w:sz w:val="24"/>
          <w:highlight w:val="none"/>
        </w:rPr>
        <w:t xml:space="preserve">二</w:t>
      </w:r>
      <w:r>
        <w:rPr>
          <w:rFonts w:hint="eastAsia" w:ascii="仿宋" w:hAnsi="仿宋" w:eastAsia="仿宋" w:cs="仿宋"/>
          <w:color w:val="auto"/>
          <w:sz w:val="24"/>
          <w:highlight w:val="none"/>
          <w:lang w:val="zh-CN"/>
        </w:rPr>
        <w:t xml:space="preserve">章“评标办法”。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.7评分结束后，交采购代理机构汇总、统计，打印出结果，磋商小组应对供应商的综合实力和技术得分进行最后的复核，并签字确认。</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29</w:t>
      </w:r>
      <w:r>
        <w:rPr>
          <w:rFonts w:hint="eastAsia" w:ascii="仿宋" w:hAnsi="仿宋" w:eastAsia="仿宋" w:cs="仿宋"/>
          <w:b/>
          <w:bCs/>
          <w:color w:val="auto"/>
          <w:sz w:val="28"/>
          <w:szCs w:val="28"/>
          <w:highlight w:val="none"/>
          <w:lang w:val="zh-CN"/>
        </w:rPr>
        <w:t xml:space="preserve">.澄清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1对响应文件中含义不明确、同类问题表述不一致或者有明显文字和计算错误的内容，磋商小组应以书面形式要求供应商做出必要的澄清、承诺、说明或者纠正。供应商的澄清、承诺、说明或者纠正应采取书面形式，由法定代表人或者被授权代表签字，并不得超出响应文件的范围或者改变响应文件的实质性内容。</w:t>
      </w:r>
      <w:r>
        <w:rPr>
          <w:rFonts w:ascii="仿宋" w:hAnsi="仿宋" w:eastAsia="仿宋"/>
          <w:color w:val="auto"/>
          <w:sz w:val="24"/>
          <w:highlight w:val="none"/>
          <w:lang w:val="zh-CN"/>
        </w:rPr>
        <w:t xml:space="preserve">采用不见面开标的，采购人不接受供应商的澄清、承诺、说明或者纠正，请供应商务必注意。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.2磋商小组判断响应文件的响应性仅基于响应文件本身而不靠外部因素。未响应实质性条款的，磋商小组有权确定其响应无效，供应商不能通过修正、撤销或者澄清不符之处而使其响应成为实质性响应的响应。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29.3</w:t>
      </w:r>
      <w:r>
        <w:rPr>
          <w:rFonts w:hint="eastAsia" w:ascii="仿宋" w:hAnsi="仿宋" w:eastAsia="仿宋" w:cs="仿宋"/>
          <w:color w:val="auto"/>
          <w:sz w:val="24"/>
          <w:highlight w:val="none"/>
          <w:lang w:val="zh-CN"/>
        </w:rPr>
        <w:t xml:space="preserve">磋商小组可以允许供应商修改或者澄清其响应文件中不构成实质偏离的、微小的、非正规的不一致或者不规则的地方。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29.4</w:t>
      </w:r>
      <w:r>
        <w:rPr>
          <w:rFonts w:hint="eastAsia" w:ascii="仿宋" w:hAnsi="仿宋" w:eastAsia="仿宋" w:cs="仿宋"/>
          <w:color w:val="auto"/>
          <w:sz w:val="24"/>
          <w:highlight w:val="none"/>
          <w:lang w:val="zh-CN"/>
        </w:rPr>
        <w:t xml:space="preserve">敬请各潜在供应商关注本项目的“更正（澄清）公告”，并通过“苏采云”系统重新下载更正（澄清）后的采购文件（后缀名为“.kedt”），离线编制投标文件，否则，将自行承担相应的风险。</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30</w:t>
      </w:r>
      <w:r>
        <w:rPr>
          <w:rFonts w:hint="eastAsia" w:ascii="仿宋" w:hAnsi="仿宋" w:eastAsia="仿宋" w:cs="仿宋"/>
          <w:b/>
          <w:bCs/>
          <w:color w:val="auto"/>
          <w:sz w:val="28"/>
          <w:szCs w:val="28"/>
          <w:highlight w:val="none"/>
          <w:lang w:val="zh-CN"/>
        </w:rPr>
        <w:t xml:space="preserve">.定标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.1本次采购人授权磋商小组确定成交供应商。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.2本次磋商采用综合评分法。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评分法，是指在最大限度地满足磋商文件实质性要求前提下，按照磋商文件中规定的各项因素进行综合评审后，以评标总得分最高的供应商作为中标候选供应商或者中标供应商的评标方法。综合评分的主要因素是：价格、技术、财务状况、信誉、业绩、服务、对磋商文件的响应程度，以及相应的比重或者权值等。评标时，磋商小组各成员应当独立对每个有效供应商的标书进行评价、打分，然后汇总每个供应商每项评分因素的得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.3采用综合评分法的，按照评审后综合得分由高到低顺序排列。综合得分相同的，技术评审得分最高的供应商中标；仍相同的，由磋商小组投票，按照少数服从多数的原则确定成交供应商。</w:t>
      </w:r>
      <w:r/>
    </w:p>
    <w:p>
      <w:pPr>
        <w:ind w:firstLine="538"/>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.4磋商文件规定推荐中标候选人的，中标候选人数量应当根据磋商需要并在磋商活动开始前确定各供应商排列顺序，依照顺序推荐中标候选人数量。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.5评审完成后，磋商小组参与并审定评标报告，采购代理机构向所有供应商宣布评审结果。</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31</w:t>
      </w:r>
      <w:r>
        <w:rPr>
          <w:rFonts w:hint="eastAsia" w:ascii="仿宋" w:hAnsi="仿宋" w:eastAsia="仿宋" w:cs="仿宋"/>
          <w:b/>
          <w:bCs/>
          <w:color w:val="auto"/>
          <w:sz w:val="28"/>
          <w:szCs w:val="28"/>
          <w:highlight w:val="none"/>
          <w:lang w:val="zh-CN"/>
        </w:rPr>
        <w:t xml:space="preserve">.中标查询以及中标通知书</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.1确定成交供应商后，采购人和采购代理机构应当在2日内在江苏政府采购网发布中标公告，公示期限为1个工作日。</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.2中标公示期满，采购代理机构将签发由监督人审核签字盖章的中标通知书，且对采购人和成交供应商具有法律约束力。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采购代理机构不按照规定发布中标公告或者发布中标公告后不签发中标通知书的，应当承担法律责任，给成交供应商造成经济损失的应承担赔偿责任。</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.3中标通知书对采购人和成交供应商都具有法律效力。中标通知书发出后，采购人改变中标结果的，或者成交供应商放弃中标，应当依法承担法律责任。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32</w:t>
      </w:r>
      <w:r>
        <w:rPr>
          <w:rFonts w:hint="eastAsia" w:ascii="仿宋" w:hAnsi="仿宋" w:eastAsia="仿宋" w:cs="仿宋"/>
          <w:b/>
          <w:bCs/>
          <w:color w:val="auto"/>
          <w:sz w:val="28"/>
          <w:szCs w:val="28"/>
          <w:highlight w:val="none"/>
          <w:lang w:val="zh-CN"/>
        </w:rPr>
        <w:t xml:space="preserve">.响应无效</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w:t>
      </w:r>
      <w:r>
        <w:rPr>
          <w:rFonts w:hint="eastAsia" w:ascii="仿宋" w:hAnsi="仿宋" w:eastAsia="仿宋" w:cs="仿宋"/>
          <w:color w:val="auto"/>
          <w:sz w:val="24"/>
          <w:highlight w:val="none"/>
          <w:lang w:val="zh-CN"/>
        </w:rPr>
        <w:t xml:space="preserve">响应无效：</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.1响应文件未按照规定制作的；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.2对“★”条款未做出实质性响应或者发生重大偏离的；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3响应人</w:t>
      </w:r>
      <w:r>
        <w:rPr>
          <w:rFonts w:hint="eastAsia" w:ascii="仿宋" w:hAnsi="仿宋" w:eastAsia="仿宋" w:cs="仿宋"/>
          <w:color w:val="auto"/>
          <w:sz w:val="24"/>
          <w:highlight w:val="none"/>
          <w:lang w:val="zh-CN"/>
        </w:rPr>
        <w:t xml:space="preserve">复制磋商文件的技术规格相关部分内容作为其响应文件的一部分的；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无</w:t>
      </w:r>
      <w:r>
        <w:rPr>
          <w:rFonts w:hint="eastAsia" w:ascii="仿宋" w:hAnsi="仿宋" w:eastAsia="仿宋" w:cs="仿宋"/>
          <w:color w:val="auto"/>
          <w:sz w:val="24"/>
          <w:highlight w:val="none"/>
        </w:rPr>
        <w:t xml:space="preserve">响应人</w:t>
      </w:r>
      <w:r>
        <w:rPr>
          <w:rFonts w:hint="eastAsia" w:ascii="仿宋" w:hAnsi="仿宋" w:eastAsia="仿宋" w:cs="仿宋"/>
          <w:color w:val="auto"/>
          <w:sz w:val="24"/>
          <w:highlight w:val="none"/>
          <w:lang w:val="zh-CN"/>
        </w:rPr>
        <w:t xml:space="preserve">法定代表人或者其授权代表签字</w:t>
      </w:r>
      <w:r>
        <w:rPr>
          <w:rFonts w:hint="eastAsia" w:ascii="仿宋" w:hAnsi="仿宋" w:eastAsia="仿宋" w:cs="仿宋"/>
          <w:color w:val="auto"/>
          <w:sz w:val="24"/>
          <w:highlight w:val="none"/>
        </w:rPr>
        <w:t xml:space="preserve">或电子签章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响应有效期不满足磋商文件要求；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超出经营范围响应的；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磋商小组2/3以及以上成员认定磋商方案技术含量低、不符合磋商文件要求；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磋商小组判定供应商涂改证明材料或者提供虚假材料的；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本磋商文件规定的响应无效情形的；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zh-CN"/>
        </w:rPr>
        <w:t xml:space="preserve">不符合法律、法规和磋商文件中规定的其他要求的。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对响应无效的认定，必须经磋商小组集体做出决定并出具响应无效的事实依据，由供应商法定代表人或者被授权代表签字确认，拒绝签字的，不影响磋商小组做出的决定。</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33</w:t>
      </w:r>
      <w:r>
        <w:rPr>
          <w:rFonts w:hint="eastAsia" w:ascii="仿宋" w:hAnsi="仿宋" w:eastAsia="仿宋" w:cs="仿宋"/>
          <w:b/>
          <w:bCs/>
          <w:color w:val="auto"/>
          <w:sz w:val="28"/>
          <w:szCs w:val="28"/>
          <w:highlight w:val="none"/>
          <w:lang w:val="zh-CN"/>
        </w:rPr>
        <w:t xml:space="preserve">.废标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出现下列情形之一的，应予废标：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.2出现影响采购公正的违法、违规行为的；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.3 因重大变故，采购任务取消的；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.4法律、法规以及磋商文件规定废标情形。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废标必须经磋商小组集体做出决定，经磋商小组全体成员签字确认后生效。废标后，采购人或者采购代理机构应当将废标理由通知所有供应商。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34</w:t>
      </w:r>
      <w:r>
        <w:rPr>
          <w:rFonts w:hint="eastAsia" w:ascii="仿宋" w:hAnsi="仿宋" w:eastAsia="仿宋" w:cs="仿宋"/>
          <w:b/>
          <w:bCs/>
          <w:color w:val="auto"/>
          <w:sz w:val="28"/>
          <w:szCs w:val="28"/>
          <w:highlight w:val="none"/>
          <w:lang w:val="zh-CN"/>
        </w:rPr>
        <w:t xml:space="preserve">.特殊情况处置程序</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.1评标活动终止</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.1.1磋商小组应当执行连续评标的原则，按照磋商文件规定的程序、内容、方法、标准完成全部评标工作。</w:t>
      </w:r>
      <w:r>
        <w:rPr>
          <w:rFonts w:hint="eastAsia" w:ascii="仿宋" w:hAnsi="仿宋" w:eastAsia="仿宋" w:cs="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磋商文件和所有响应或响应文件，择期重新组建磋商小组进行评审。</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.1.2发生下列情况之一的，磋商小组应终止评标并按照废标处理：</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.1.2.1发生了不可抗力事件；</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.1.2.2磋商小组名单泄密或者评标委员成员无法中途更换的；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.1.2.3磋商小组成员未经监督人员同意离开评标区域或者擅自打电话以及采用其它方式与外界联系或者通报评标情况的；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.1.2.4发生评标信息泄露或者出现非法干预评审、磋商工作的；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.1.2.5监督人员现场发现磋商小组或者成员未按照磋商文件规定评审或者存在违反法律法规规定行为，且拒绝改正的。</w:t>
      </w:r>
      <w:r/>
    </w:p>
    <w:p>
      <w:pPr>
        <w:ind w:firstLine="47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出现上述情形的，磋商小组有权予以废标或者建议采购人和采购代理机构封存磋商文件和所有响应或响应文件，择期重新组建磋商小组进行评审。</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.2磋商小组中途更换成员</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.2.1除非发生下列情况之一，磋商小组成员不得中途更换：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.2.1.1因不可抗拒的客观原因，不能到场或者需在评标过程中退出评标活动；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.2.1.2根据法律法规规定，某个或者某几个磋商小组成员需要回避；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.2.2退出磋商小组的成员，其已完成的评审行为无效。由采购人向财政监督人员提出更换磋商小组成员意见并获准后，根据本磋商文件规定的磋商小组成员产生方式另行确定替代者进行评标。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.3记名投票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在评标过程中，磋商小组发生分歧或者评审结论有异议需表决的，按照少数服从多数的原则，由磋商小组全体成员以记名投票方式表决。</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35</w:t>
      </w:r>
      <w:r>
        <w:rPr>
          <w:rFonts w:hint="eastAsia" w:ascii="仿宋" w:hAnsi="仿宋" w:eastAsia="仿宋" w:cs="仿宋"/>
          <w:b/>
          <w:bCs/>
          <w:color w:val="auto"/>
          <w:sz w:val="28"/>
          <w:szCs w:val="28"/>
          <w:highlight w:val="none"/>
          <w:lang w:val="zh-CN"/>
        </w:rPr>
        <w:t xml:space="preserve">.违法违规情形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.1有下列情形之一的，属于供应商相互串通响应：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.1.1供应商之间协商响应文件的实质性内容；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.1.2供应商之间约定成交供应商；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.1.3供应商之间约定部分供应商放弃响应或者中标；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.1.4属于同一集团、协会、商会等组织成员的供应商按照该组织要求协同响应；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.1.5供应商之间为谋取中标或者排斥特定供应商而采取的其他联合行动。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.2有下列情形之一的，视为供应商相互串通响应：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.2.1不同供应商的响应文件由同一单位或者个人编制；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.2.2不同供应商委托同一单位或者个人办理响应事宜；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.2.3不同供应商的响应文件载明的项目管理成员为同一人（供应商恶意等因素除外）；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.2.4不同供应商的响应文件异常一致呈规律性差异；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.2.6不同供应商的CA证书混用的；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.3有下列情形之一的，属于采购人与供应商串通响应：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.3.1采购人在开标前开启响应文件并将有关信息泄露给其他供应商;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.3.2采购人直接或者间接向供应商泄露磋商小组成员等信息；</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.3.3采购人授意供应商撤换、修改响应文件；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.3.4采购人明示或者暗示供应商为特定供应商中标提供方便；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.3.5采购人与供应商为谋求特定供应商中标而采取的其他串通行为。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 供应商有下列情形之一的，属于供应商弄虚作假的行为：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.4.1使用伪造、变造的许可证件；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.4.2提供虚假的财务状况或者业绩；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.4.3提供虚假的项目负责人或者主要技术人员简历、劳动关系证明；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.4.4提供虚假的信用状况；</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.4.5其他弄虚作假的行为。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评标过程中第3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条规定情形之一的，磋商小组必须出具违法违规认定意见并予以废标。</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36</w:t>
      </w:r>
      <w:r>
        <w:rPr>
          <w:rFonts w:hint="eastAsia" w:ascii="仿宋" w:hAnsi="仿宋" w:eastAsia="仿宋" w:cs="仿宋"/>
          <w:b/>
          <w:bCs/>
          <w:color w:val="auto"/>
          <w:sz w:val="28"/>
          <w:szCs w:val="28"/>
          <w:highlight w:val="none"/>
          <w:lang w:val="zh-CN"/>
        </w:rPr>
        <w:t xml:space="preserve">.违规处理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供应商有下列情形之一的，列入不良行为记录名单，在一至三年内禁止参加靖江市政府采购活动：</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.1提供虚假响应材料谋取中标、成交的；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.2采取不正当手段诋毁、排挤其他供应商的；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.3与采购人、其他供应商或者采购代理机构恶意串通的；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.4向采购人、采购代理机构行贿或者提供其他不正当利益的；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.5在磋商采购过程中与采购人进行磋商的；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.6拒绝有关部门监督检查或者提供虚假情况的；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.7一年内累计二次以上投诉均查无实据，并带有明显故意行为的；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.8捏造事实或者提供虚假投诉材料的；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.9不按照规定程序以及正常途径质疑、投诉，采用匿名信、匿名电话、发短信息等手段，威胁、恫吓、辱骂、恶意中伤其他相关当事人的；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.10法律、法规和磋商文件中规定的其他情形。</w:t>
      </w:r>
      <w:bookmarkEnd w:id="62"/>
      <w:r/>
      <w:bookmarkStart w:id="64" w:name="_Toc329009669"/>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第七章  签订合同、合同主要条款</w:t>
      </w:r>
      <w:bookmarkEnd w:id="64"/>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37</w:t>
      </w:r>
      <w:r>
        <w:rPr>
          <w:rFonts w:hint="eastAsia" w:ascii="仿宋" w:hAnsi="仿宋" w:eastAsia="仿宋" w:cs="仿宋"/>
          <w:b/>
          <w:bCs/>
          <w:color w:val="auto"/>
          <w:sz w:val="28"/>
          <w:szCs w:val="28"/>
          <w:highlight w:val="none"/>
          <w:lang w:val="zh-CN"/>
        </w:rPr>
        <w:t xml:space="preserve">.签订合同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.1采购人应当自中标通知书发出之日起三十日内，按照磋商文件和成交供应商响应文件的约定，与成交供应商签订书面合同。所签订合同不得对磋商文件和成交供应商响应文件作实质性修改。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2签订的合同原则以磋商文件规定为基础，并根据评标、答疑情况进行修改补充，但该款并不限制采购人以其他方式签订合同的权利。采购人不得向成交供应商提出任何不合理的要求，作为签订合同的条件，不得与成交供应商私下订立背离合同实质性内容的协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.3磋商文件、响应文件、书面承诺和中标通知书均作为经济合同的一部分，且具有法律效力。成交供应商应严格履行经济合同所规定的各项义务和责任，否则将依法处理。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.4有关法规或者磋商文件明确不允许分包方式履行合同的，成交供应商不得分包履行合同，否则将依法承担法律责任。磋商文件明确允许分包方式履行合同的，按照磋商文件规定执行。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.5采购人应当自采购合同签订之日起七个工作日内，将采购合同副本报同级财政部门和有关部门备案。</w:t>
      </w:r>
      <w:r/>
    </w:p>
    <w:p>
      <w:pPr>
        <w:ind w:firstLine="482"/>
        <w:spacing w:line="300" w:lineRule="auto"/>
        <w:rPr>
          <w:rFonts w:ascii="仿宋" w:hAnsi="仿宋" w:eastAsia="仿宋" w:cs="仿宋"/>
          <w:b/>
          <w:bCs/>
          <w:color w:val="auto"/>
          <w:sz w:val="28"/>
          <w:szCs w:val="28"/>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.6法律、行政法规规定应当办理批准、登记等手续后生效的合同，依照其规定。</w:t>
      </w:r>
      <w:r>
        <w:rPr>
          <w:rFonts w:hint="eastAsia" w:ascii="仿宋" w:hAnsi="仿宋" w:eastAsia="仿宋" w:cs="仿宋"/>
          <w:b/>
          <w:bCs/>
          <w:color w:val="auto"/>
          <w:sz w:val="28"/>
          <w:szCs w:val="28"/>
          <w:highlight w:val="none"/>
        </w:rPr>
        <w:t xml:space="preserve">38</w:t>
      </w:r>
      <w:r>
        <w:rPr>
          <w:rFonts w:hint="eastAsia" w:ascii="仿宋" w:hAnsi="仿宋" w:eastAsia="仿宋" w:cs="仿宋"/>
          <w:b/>
          <w:bCs/>
          <w:color w:val="auto"/>
          <w:sz w:val="28"/>
          <w:szCs w:val="28"/>
          <w:highlight w:val="none"/>
          <w:lang w:val="zh-CN"/>
        </w:rPr>
        <w:t xml:space="preserve">.追加合同金额</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政府采购合同履行中，采购人需要追加与合同标的相同的服务的，在不改变合同其他条款的前提下并且在签订合同后1年内，经采购人报同级财政部门批准后，可以与成交供应商协商签订补充合同，但所有补充合同的采购金额不得超过原合同采购金额的10%，否则采购人应重新组织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39</w:t>
      </w:r>
      <w:r>
        <w:rPr>
          <w:rFonts w:hint="eastAsia" w:ascii="仿宋" w:hAnsi="仿宋" w:eastAsia="仿宋" w:cs="仿宋"/>
          <w:b/>
          <w:bCs/>
          <w:color w:val="auto"/>
          <w:sz w:val="28"/>
          <w:szCs w:val="28"/>
          <w:highlight w:val="none"/>
          <w:lang w:val="zh-CN"/>
        </w:rPr>
        <w:t xml:space="preserve">.服务质量与验收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39</w:t>
      </w:r>
      <w:r>
        <w:rPr>
          <w:rFonts w:hint="eastAsia" w:ascii="仿宋" w:hAnsi="仿宋" w:eastAsia="仿宋" w:cs="仿宋"/>
          <w:color w:val="auto"/>
          <w:sz w:val="24"/>
          <w:highlight w:val="none"/>
          <w:lang w:val="zh-CN"/>
        </w:rPr>
        <w:t xml:space="preserve">.1磋商文件中的服务按照国标、部标、行业标准或者双方技术协议或者磋商文件、响应文件、书面承诺的技术要求制造。货到后，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85"/>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366"/>
        <w:tblW w:w="911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3"/>
        <w:gridCol w:w="1918"/>
        <w:gridCol w:w="2092"/>
        <w:gridCol w:w="2556"/>
      </w:tblGrid>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56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56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56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18"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5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18"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5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18"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5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r>
      <w:tr>
        <w:trPr>
          <w:trHeight w:val="526"/>
        </w:trPr>
        <w:tc>
          <w:tcPr>
            <w:gridSpan w:val="4"/>
            <w:tcW w:w="9119"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4888"/>
        </w:trPr>
        <w:tc>
          <w:tcPr>
            <w:gridSpan w:val="4"/>
            <w:tcW w:w="9119" w:type="dxa"/>
            <w:textDirection w:val="lrTb"/>
            <w:noWrap w:val="false"/>
          </w:tcPr>
          <w:p>
            <w:pPr>
              <w:pStyle w:val="1388"/>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8"/>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8"/>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8"/>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8"/>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8"/>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8"/>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29"/>
        <w:rPr>
          <w:rFonts w:ascii="仿宋" w:hAnsi="仿宋" w:eastAsia="仿宋" w:cs="仿宋"/>
          <w:color w:val="auto"/>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highlight w:val="none"/>
        </w:rPr>
      </w:r>
      <w:r/>
    </w:p>
    <w:p>
      <w:pPr>
        <w:pStyle w:val="929"/>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366"/>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14"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556" w:type="dxa"/>
            <w:vAlign w:val="center"/>
            <w:textDirection w:val="lrTb"/>
            <w:noWrap w:val="false"/>
          </w:tcPr>
          <w:p>
            <w:pPr>
              <w:pStyle w:val="1388"/>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14"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556" w:type="dxa"/>
            <w:vAlign w:val="center"/>
            <w:textDirection w:val="lrTb"/>
            <w:noWrap w:val="false"/>
          </w:tcPr>
          <w:p>
            <w:pPr>
              <w:pStyle w:val="1388"/>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01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14"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val="false"/>
          </w:tcPr>
          <w:p>
            <w:pPr>
              <w:pStyle w:val="1388"/>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556"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5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Borders>
              <w:top w:val="none" w:color="000000" w:sz="4" w:space="0"/>
            </w:tcBorders>
            <w:tcW w:w="1625" w:type="dxa"/>
            <w:vAlign w:val="center"/>
            <w:vMerge w:val="continue"/>
            <w:textDirection w:val="lrTb"/>
            <w:noWrap w:val="false"/>
          </w:tcPr>
          <w:p>
            <w:pPr>
              <w:pStyle w:val="1388"/>
              <w:rPr>
                <w:rFonts w:ascii="仿宋" w:hAnsi="仿宋" w:eastAsia="仿宋" w:cs="仿宋"/>
                <w:color w:val="auto"/>
                <w:highlight w:val="none"/>
                <w:lang w:eastAsia="zh-CN"/>
              </w:rPr>
            </w:pPr>
            <w:r>
              <w:rPr>
                <w:rFonts w:ascii="仿宋" w:hAnsi="仿宋" w:eastAsia="仿宋" w:cs="仿宋"/>
                <w:color w:val="auto"/>
                <w:highlight w:val="none"/>
                <w:lang w:eastAsia="zh-CN"/>
              </w:rPr>
            </w:r>
            <w:r/>
          </w:p>
        </w:tc>
        <w:tc>
          <w:tcPr>
            <w:tcW w:w="1714"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val="false"/>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556"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549" w:type="dxa"/>
            <w:vAlign w:val="center"/>
            <w:textDirection w:val="lrTb"/>
            <w:noWrap w:val="false"/>
          </w:tcPr>
          <w:p>
            <w:pPr>
              <w:pStyle w:val="1388"/>
              <w:rPr>
                <w:rFonts w:ascii="仿宋" w:hAnsi="仿宋" w:eastAsia="仿宋" w:cs="仿宋"/>
                <w:color w:val="auto"/>
                <w:highlight w:val="none"/>
                <w:lang w:eastAsia="zh-CN"/>
              </w:rPr>
            </w:pPr>
            <w:r>
              <w:rPr>
                <w:rFonts w:ascii="仿宋" w:hAnsi="仿宋" w:eastAsia="仿宋" w:cs="仿宋"/>
                <w:color w:val="auto"/>
                <w:highlight w:val="none"/>
                <w:lang w:eastAsia="zh-CN"/>
              </w:rPr>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549" w:type="dxa"/>
            <w:vAlign w:val="center"/>
            <w:textDirection w:val="lrTb"/>
            <w:noWrap w:val="false"/>
          </w:tcPr>
          <w:p>
            <w:pPr>
              <w:pStyle w:val="1388"/>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549" w:type="dxa"/>
            <w:vAlign w:val="center"/>
            <w:textDirection w:val="lrTb"/>
            <w:noWrap w:val="false"/>
          </w:tcPr>
          <w:p>
            <w:pPr>
              <w:pStyle w:val="1388"/>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174"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85"/>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929"/>
        <w:rPr>
          <w:rFonts w:ascii="仿宋" w:hAnsi="仿宋" w:eastAsia="仿宋" w:cs="仿宋"/>
          <w:b/>
          <w:bCs/>
          <w:color w:val="auto"/>
          <w:sz w:val="28"/>
          <w:szCs w:val="28"/>
          <w:highlight w:val="none"/>
        </w:rPr>
        <w:sectPr>
          <w:footnotePr/>
          <w:endnotePr/>
          <w:type w:val="nextPage"/>
          <w:pgSz w:w="16838" w:h="11905" w:orient="landscape"/>
          <w:pgMar w:top="1417" w:right="1213" w:bottom="1417" w:left="1400" w:header="850" w:footer="992" w:gutter="0"/>
          <w:cols w:num="1" w:sep="0" w:space="0" w:equalWidth="1"/>
          <w:docGrid w:linePitch="360"/>
          <w:titlePg/>
        </w:sect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jc w:val="lef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40</w:t>
      </w:r>
      <w:r>
        <w:rPr>
          <w:rFonts w:hint="eastAsia" w:ascii="仿宋" w:hAnsi="仿宋" w:eastAsia="仿宋" w:cs="仿宋"/>
          <w:b/>
          <w:bCs/>
          <w:color w:val="auto"/>
          <w:sz w:val="28"/>
          <w:szCs w:val="28"/>
          <w:highlight w:val="none"/>
          <w:lang w:val="zh-CN"/>
        </w:rPr>
        <w:t xml:space="preserve">.合同主要条款</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04"/>
        <w:jc w:val="center"/>
        <w:keepLines w:val="0"/>
        <w:keepNext w:val="0"/>
        <w:spacing w:before="0" w:after="0"/>
        <w:rPr>
          <w:rFonts w:ascii="仿宋" w:hAnsi="仿宋" w:eastAsia="仿宋"/>
          <w:color w:val="auto"/>
          <w:sz w:val="24"/>
          <w:szCs w:val="24"/>
          <w:highlight w:val="none"/>
        </w:rPr>
      </w:pPr>
      <w:r/>
      <w:bookmarkStart w:id="65" w:name="_Toc27411"/>
      <w:r>
        <w:rPr>
          <w:rFonts w:hint="eastAsia" w:ascii="仿宋" w:hAnsi="仿宋" w:eastAsia="仿宋"/>
          <w:color w:val="auto"/>
          <w:sz w:val="24"/>
          <w:szCs w:val="24"/>
          <w:highlight w:val="none"/>
        </w:rPr>
        <w:t xml:space="preserve">合同协议书</w:t>
      </w:r>
      <w:bookmarkEnd w:id="65"/>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靖江市自然资源和规划局</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eastAsia="zh-CN"/>
        </w:rPr>
        <w:t xml:space="preserve">泰州市靖江滨江风光带区域特色自然和人文资源调查试点工作项目</w:t>
      </w:r>
      <w:r>
        <w:rPr>
          <w:rFonts w:hint="eastAsia" w:ascii="仿宋" w:hAnsi="仿宋" w:eastAsia="仿宋" w:cs="宋体"/>
          <w:color w:val="auto"/>
          <w:sz w:val="24"/>
          <w:highlight w:val="none"/>
        </w:rPr>
        <w:t xml:space="preserve">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第1节、</w:t>
      </w:r>
      <w:r>
        <w:rPr>
          <w:rFonts w:hint="eastAsia" w:ascii="仿宋" w:hAnsi="仿宋" w:eastAsia="仿宋" w:cs="宋体"/>
          <w:b/>
          <w:color w:val="auto"/>
          <w:sz w:val="24"/>
          <w:highlight w:val="none"/>
        </w:rPr>
        <w:t xml:space="preserve">项目背景</w:t>
      </w:r>
      <w:r/>
    </w:p>
    <w:p>
      <w:pPr>
        <w:ind w:firstLine="480"/>
        <w:spacing w:line="380" w:lineRule="exact"/>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为深入践行“绿水青山就是金山银山”理念，贯彻落实习近平总书记关于加强文化和自然遗产传承、利用工作，立足本地资源禀赋特点、体现本地优势和特色，把自然风光和人文风情转化为旅游业的持续魅力等重要指示精神，根据《自然资源部办公厅关于进一步开展区域特色自然和人文资源调査试点工作的通知》（自然资办函〔</w:t>
      </w:r>
      <w:r>
        <w:rPr>
          <w:rFonts w:ascii="仿宋" w:hAnsi="仿宋" w:eastAsia="仿宋" w:cs="仿宋"/>
          <w:color w:val="auto"/>
          <w:sz w:val="24"/>
          <w:highlight w:val="none"/>
        </w:rPr>
        <w:t xml:space="preserve">2025</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1163</w:t>
      </w:r>
      <w:r>
        <w:rPr>
          <w:rFonts w:hint="eastAsia" w:ascii="仿宋" w:hAnsi="仿宋" w:eastAsia="仿宋" w:cs="仿宋"/>
          <w:color w:val="auto"/>
          <w:sz w:val="24"/>
          <w:highlight w:val="none"/>
        </w:rPr>
        <w:t xml:space="preserve">号）和《江苏省自然资源厅关于做好第二批自然资源部区域特色自然和人文资源调查试点工作的通知》，靖江市开展泰州市靖江滨江风光带特色自然与人文资源调查工作，全面摸清区域特色自然和人文资源数据， 厘清各类特色资源数量、范围、历史价值、生态价值、社会价值等信息以及保护管控范围，有效支撑自然和人文资源的精准管控、传承利用和价值转化以及国土空间规划管控和体检评估，为区域经济社会高质量发展和“两山”高效转化提供科学依据和支撑。</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第2节、</w:t>
      </w: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hint="eastAsia" w:ascii="仿宋" w:hAnsi="仿宋" w:eastAsia="仿宋" w:cs="仿宋"/>
          <w:bCs/>
          <w:color w:val="auto"/>
          <w:sz w:val="24"/>
          <w:highlight w:val="none"/>
        </w:rPr>
        <w:t xml:space="preserve">服务期90日历天</w:t>
      </w:r>
      <w:r/>
    </w:p>
    <w:p>
      <w:pPr>
        <w:spacing w:line="380" w:lineRule="exact"/>
        <w:rPr>
          <w:rFonts w:ascii="仿宋" w:hAnsi="仿宋" w:eastAsia="仿宋" w:cs="仿宋"/>
          <w:color w:val="auto"/>
          <w:sz w:val="24"/>
          <w:highlight w:val="none"/>
        </w:rPr>
      </w:pPr>
      <w:r/>
      <w:bookmarkStart w:id="66" w:name="_Toc211911348"/>
      <w:r/>
      <w:bookmarkStart w:id="67" w:name="_Toc239233914"/>
      <w:r/>
      <w:bookmarkStart w:id="68" w:name="_Toc232492928"/>
      <w:r/>
      <w:bookmarkStart w:id="69" w:name="_Toc225670751"/>
      <w:r/>
      <w:bookmarkStart w:id="70" w:name="_Toc251768862"/>
      <w:r/>
      <w:bookmarkStart w:id="71" w:name="_Toc283019214"/>
      <w:r/>
      <w:bookmarkStart w:id="72" w:name="_Toc225244852"/>
      <w:r/>
      <w:bookmarkStart w:id="73" w:name="_Toc212019594"/>
      <w:r/>
      <w:bookmarkStart w:id="74" w:name="_Toc225654644"/>
      <w:r/>
      <w:bookmarkStart w:id="75" w:name="_Toc211854449"/>
      <w:r/>
      <w:bookmarkStart w:id="76" w:name="_Toc247334841"/>
      <w:r/>
      <w:bookmarkStart w:id="77" w:name="_Toc239568418"/>
      <w:r/>
      <w:bookmarkStart w:id="78" w:name="_Toc237145406"/>
      <w:r/>
      <w:bookmarkStart w:id="79" w:name="_Toc286993786"/>
      <w:r/>
      <w:bookmarkStart w:id="80" w:name="_Toc185395249"/>
      <w:r/>
      <w:bookmarkStart w:id="81" w:name="_Toc282696226"/>
      <w:r/>
      <w:bookmarkStart w:id="82" w:name="_Toc238984975"/>
      <w:r/>
      <w:bookmarkStart w:id="83" w:name="_Toc241833903"/>
      <w:r>
        <w:rPr>
          <w:rFonts w:ascii="仿宋" w:hAnsi="仿宋" w:eastAsia="仿宋" w:cs="宋体"/>
          <w:b/>
          <w:color w:val="auto"/>
          <w:sz w:val="24"/>
          <w:highlight w:val="none"/>
        </w:rPr>
        <w:t xml:space="preserve">第3节、</w:t>
      </w:r>
      <w:r>
        <w:rPr>
          <w:rFonts w:hint="eastAsia" w:ascii="仿宋" w:hAnsi="仿宋" w:eastAsia="仿宋" w:cs="仿宋"/>
          <w:b/>
          <w:bCs/>
          <w:color w:val="auto"/>
          <w:sz w:val="24"/>
          <w:highlight w:val="none"/>
        </w:rPr>
        <w:t xml:space="preserve">工作内容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自然资源部试点工作要求，在我省试点工作经验的基础上，深入调查具有地域标识性、价值稀缺性、资源互补性、利用持续性等特征的自然和人文资源，进一步探索区域特色自然和人文资源调查指标体系、方法路径、成果体系，形成具有区域特色的应用场景和可持续传承、利用方式，衔接国土空间保护、开发工作，支撑自然和人文资源的精准管控、传承利用和价值转化，支撑国土空间规划管控和城市体检评估，探索“两山”转化路径。通过对泰州市靖江滨江风光带区域特色自然和人文资源的调查摸底，立足资源禀赋特点、体现本地优势和特色。 具体建设目标如下：</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（1）建设特色资源数据库。完成试点区域特色自然和人文资源调查，形成 包括自然资源、生态图谱、文化遗产名录、数字影像档案在内的综合数据库，为科学保护提供数据支撑。</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（2）明确生态理念。生态优先，以江兴城，坚持长江保护理念，充分依托滨江近海的优势，推动实现生态价值向民生福祉的高效转化。</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（3）推动生态保护。摸清试点区域内自然家底，与规划管控衔接，推动生态保护、长江湿地修复，发挥其生态服务与休闲价值。</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（4）加强文旅融合。结合湿地观鸟、江鲜美食、东线第一帆等特色体验， 打造滨江生态旅游观光点，培育文旅新业态。</w:t>
      </w:r>
      <w:r/>
    </w:p>
    <w:p>
      <w:pPr>
        <w:ind w:firstLine="480"/>
        <w:spacing w:line="38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（5）赋能城市发展。将调查成果与国土空间保护、开发、文旅融合等工作衔接，推动文化资源与生态资源协同转化，为区域高质量发展赋能。</w:t>
      </w:r>
      <w:r/>
    </w:p>
    <w:p>
      <w:pPr>
        <w:ind w:firstLine="44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第4节、工作依据</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4.1技术标准</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TD/T 1055-2019《第三次全国国土调查技术规程》；</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LY/T 3291-2021《自然保护地分类分级》；</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GB/T 14529-93《自然保护区类型与级别划分原则》；</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LY/T 3189-2020《国家公园资源调查与评价规范》；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 LY/T 1820-2009《野生植物资源调查技术规程》；</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 DZ/T 0306-2017《城市地质调查规范》；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 DZ/T 0303-2017《地质遗迹调查规范》；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 LY/T 2737-2016《古树名木鉴定规范》；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 LY/T 2738-2016《古树名木普查技术规范》；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 DB32/T 4689-2024《地名文化遗产鉴定规范》；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 GB/T 51346-2019《城市绿地规划标准》；</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 DZ/T 0226-2020《矿产资源规划数据库标准》；</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 GB/T 17766-2020《固体矿产资源储量分类》；</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14） HJ 338-2018《饮用水水源保护区划分技术规范》；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15） GB/T 18972-2017《旅游资源分类、调查与评价》；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16） GB/T 17775-2024《旅游景区质量等级划分》；</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 GB/T 20257《国家基本比例尺地图图式第2 部分：1:5000 1:10000 地形图图式》；</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 GB/T 18316-2008《数字测绘成果质量检查与验收》；</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19） GB/T 24356-2023《测绘成果质量检查与验收》。</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4.2政策文件</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1）《自然资源部办公厅关于进一步开展区域特色自然和人文资源调査试</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点工作的通知》（自然资办函〔2025〕1163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2）《江苏省自然资源厅关于做好第二批自然资源部区域特色自然和人文资源调查试点工作的通知》；</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3）《区域特色自然和人文资源调查工作指南（试行）》；</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4）《区域特色自然和人文资源调查技术导则（试行）》；</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5）《全国旅游景区管理系统使用手册》（2010 年版）；</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6）《国家林业和草原局关于开展林草湿数据与第三次全国国土调查数据对接融合和国家级公益林优化工作的通知》（林资发〔2021〕53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7）《自然资源部办公厅关于加快推进矿产资源规划数据库（2021-2025 年）建设有关工作的通知》（自然资办函〔2021〕2004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8）《水利部办公厅关于开展国家水利遗产认定申报工作的通知》（办宣〔2021〕303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9）《国家林业和草原局森林资源管理司关于印发&lt;2022 年全国森林、草原、湿地调查监测技术规程&gt;&lt;2022 年全国森林、草原、湿地调查监测质量检查办法（试行）&gt;的通知》；</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（10）《第四次全国文物普查总体方案》（文物普查发〔2024〕1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（11）《第四次全国文物普查领导小组办公室关于印发第四次全国文物普查标准、登记表和著录说明的通知》（文物普查发〔2024〕41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（12）《自然资源部国家林业和草原局关于开展全国森林草原湿地荒漠化普查工作的通知》（自然资发〔2024〕78 号）；</w:t>
      </w:r>
      <w:r/>
    </w:p>
    <w:p>
      <w:pPr>
        <w:ind w:firstLine="44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（13）《关于印发〈历史建筑经济价值评估指引（试行）〉的通知》。</w:t>
      </w:r>
      <w:r/>
    </w:p>
    <w:p>
      <w:pPr>
        <w:ind w:firstLine="440"/>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第5节、</w:t>
      </w:r>
      <w:r>
        <w:rPr>
          <w:rFonts w:hint="eastAsia" w:ascii="仿宋" w:hAnsi="仿宋" w:eastAsia="仿宋" w:cs="仿宋"/>
          <w:b/>
          <w:color w:val="auto"/>
          <w:sz w:val="24"/>
          <w:highlight w:val="none"/>
        </w:rPr>
        <w:t xml:space="preserve">调查范围</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靖江滨江风光带位于靖江市区最南端，地处长江下游北岸，是长江国家文化 公园的核心区，东至牧城公园东界，西至五圩港，南至靖江市域南界（含长江水面），北至S356省道（沿江高等级公路），总面积约27平方千米。</w:t>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3911600" cy="2509520"/>
                <wp:effectExtent l="1905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30"/>
                        <a:stretch/>
                      </pic:blipFill>
                      <pic:spPr bwMode="auto">
                        <a:xfrm>
                          <a:off x="0" y="0"/>
                          <a:ext cx="3911600" cy="2509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8.0pt;height:197.6pt;mso-wrap-distance-left:0.0pt;mso-wrap-distance-top:0.0pt;mso-wrap-distance-right:0.0pt;mso-wrap-distance-bottom:0.0pt;" stroked="false">
                <v:path textboxrect="0,0,0,0"/>
                <v:imagedata r:id="rId30" o:title=""/>
              </v:shape>
            </w:pict>
          </mc:Fallback>
        </mc:AlternateConten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图 1-1 靖江市滨江风光带区域位置图</w:t>
      </w:r>
      <w:r/>
    </w:p>
    <w:p>
      <w:pPr>
        <w:ind w:firstLine="482"/>
        <w:spacing w:line="38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第6节、</w:t>
      </w:r>
      <w:r>
        <w:rPr>
          <w:rFonts w:hint="eastAsia" w:ascii="仿宋" w:hAnsi="仿宋" w:eastAsia="仿宋" w:cs="仿宋"/>
          <w:b/>
          <w:color w:val="auto"/>
          <w:sz w:val="24"/>
          <w:highlight w:val="none"/>
        </w:rPr>
        <w:t xml:space="preserve">调查对象</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调查对象为在自然和人类相互作用过程中形成的空间单元内，凝结成的具有 地域标识性、价值稀缺性、资源互补性、利用持续性等特征的自然、人文资源。 主要包括以下内容：</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（1）基本情况：靖江滨江风光带的自然和人文环境、景区基本情况、旅游设施、旅游服务接待情况、城市依托条件等相关信息。</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（2）自然资源状况：调查试点区域范围内天然形成或长期自然演化产生的生态系统、地貌景观及生物多样性等资源情况。</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（3）人文资源状况：以文物普查、物质和非物质文化遗产为基础，调查文物古迹、民风民俗等相关情况。</w:t>
      </w:r>
      <w:r/>
    </w:p>
    <w:p>
      <w:pPr>
        <w:ind w:firstLine="44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保护要求：以国土空间规划、生态保护规划、环境保护规划等自然和人文资源保护规划为依据，查清各类法律、法规或规划红线对试点区域内各类自然和人文资源的生态保护要求；以依法确定的自然资源用途管制规划为依据，调查相应的用途管制要求；以依法确定的其他特殊保护规划为依据，调查相应的特殊保护要求。</w:t>
      </w:r>
      <w:r/>
    </w:p>
    <w:p>
      <w:pPr>
        <w:ind w:firstLine="44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第7节、工作内容</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对靖江滨江风光带的自然风光、人文风情和文化景观特色进行摸底，在部下发的《区域特色自然和人文资源调查技术导则（试行）》（以下简称《技术导则》） 中的调查指标体系基础上，科学选择地域适配性指标，结合区域资源禀赋和特点， 优化完善区域特色自然和人文资源分类指标体系，丰富空间要素分层与定义，按照单体资源与复合体资源相结合、点线面相结合的分类原则，以特色自然资源和特色人文资源为主体，以其他特色资源为补充，开展特色自然资源与人文资源分析评价，优化应用场景，加深自然和人文资源的融合程度。</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（1）资料收集与分析整理</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按照集成创新的工作模式，聚焦长江湿地保护、文化旅游、历史遗迹、现代 产业等，从地质地貌、生物生态、水文水系、物质和非物质文化遗产、红色文化、 水利遗产、文旅与创意、产业与科技等多方面，充分搜集现有资料， 包括多源遥感影像、自然资源调查监测成果、基础测绘成果（含实景三维）、自 然资源资产清查成果、文物普查成果、生物多样性调查成果、地质调查成果、相关国土空间规划资料、社会经济数据以及相关历史背景、研究论文、政策文献等文字记录性材料。</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（2）实地补充调查</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对于依据资料难以准确判定空间或属性信息的，或需要新增和细化内容的特色自然和人文资源，应形成补充调查文件，并通过实地拍照、无人机全景拍摄等形式开展实地补充调查。</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（3）数据整合与数据库建设</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收集、调查到的各类数据资料进行整合，将区域内具有空间范围矢量数据的区域特色资源类型、补充调查成果以及空间化处理后的文档、表单、图件等数据集成至相应数据层，量化各类特色资源的数量、范围、价值等属性，构建统一的区域特色自然和人文资源基础数据库。</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（4）专题图制作与空间化表达</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依据调查成果，编制特色资源总图、特色自然资源图、特色人文资源图、其他特色资源图、成果分析应用图等专题图件，可根据实际需要，编制靖江风光带时空变化图集。基于“天地图∙靖江”，充分展示靖江滨江风光带特色自然和人文资源。</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（5）分析评价与成果应用</w:t>
      </w:r>
      <w:r/>
    </w:p>
    <w:p>
      <w:pPr>
        <w:ind w:firstLine="440"/>
        <w:spacing w:line="300" w:lineRule="auto"/>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基于区域特色自然和人文资源调查成果，充分挖掘特色资源的经济价值、生态</w:t>
      </w:r>
      <w:r>
        <w:rPr>
          <w:rFonts w:hint="eastAsia" w:ascii="仿宋" w:hAnsi="仿宋" w:eastAsia="仿宋" w:cs="仿宋"/>
          <w:color w:val="auto"/>
          <w:sz w:val="24"/>
          <w:highlight w:val="none"/>
        </w:rPr>
        <w:t xml:space="preserve">价值和社会价值，优化完善《技术导则（试行）》中的分析评价体系，开展区域特色自然和人文资源调查分析评价。结合本地特色和实际，紧密衔接国土空间规划、长江生态保护修复等工作，辅助区域国土空间用途、空间形态和景观风貌 合理规划与设计，支撑国土空间管控、历史文化名城名街保护规划编制与实施监督管理等工作；从生态产业化、产业生态化、文化赋能等多个维度，完善调查成果应用机制，积极探索调查成果在生态保护与旅游开发、自然资源生态产品价值转化、文化推广与宣传教育、特色品牌塑造等方面的应用场景及成果转化路径， 支撑区域高质量发展。</w:t>
      </w:r>
      <w:r/>
    </w:p>
    <w:p>
      <w:pPr>
        <w:ind w:firstLine="44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第8节、工作成果</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（1）数据成果</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靖江滨江风光带区域特色自然和人文资源调查数据库成果，包括基础数据库、 区域特色自然和人文资源管理数据库。其中，基础数据库包含区域特色自然资源、特色人文资源、其他特色资源要素数据层；管理数据库包含但不限于区域特色自然资源、特色人文资源数据层。</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（2）图件成果</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靖江滨江风光带区域特色自然和人文资源调查专题图成果。包括总图、特色 自然资源图、特色人文资源图、其他特色资源图、资源保护规划图和成果分析应 用图。</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（3）文档成果</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1）靖江滨江风光带区域特色自然与人文资源调查技术方案；</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2）靖江滨江风光带区域特色自然与人文资源调查工作总结；</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3）靖江滨江风光带区域特色自然与人文资源调查技术总结；</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4）靖江滨江风光带区域特色自然与人文资源成果分析应用报告；</w:t>
      </w:r>
      <w:r/>
    </w:p>
    <w:p>
      <w:pPr>
        <w:ind w:firstLine="440"/>
        <w:spacing w:line="300" w:lineRule="auto"/>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5）工作指南和技术导则完善意见。</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9</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服务费用及支付方式</w:t>
      </w:r>
      <w:r/>
    </w:p>
    <w:p>
      <w:pPr>
        <w:ind w:firstLine="567"/>
        <w:spacing w:line="300" w:lineRule="auto"/>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(一)</w:t>
      </w: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ind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(二)</w:t>
      </w:r>
      <w:r>
        <w:rPr>
          <w:rFonts w:hint="eastAsia" w:ascii="仿宋" w:hAnsi="仿宋" w:eastAsia="仿宋" w:cs="宋体"/>
          <w:b/>
          <w:color w:val="auto"/>
          <w:sz w:val="24"/>
          <w:highlight w:val="none"/>
        </w:rPr>
        <w:t xml:space="preserve">服务费支付方式：</w:t>
      </w:r>
      <w:r/>
    </w:p>
    <w:p>
      <w:pPr>
        <w:ind w:firstLine="440"/>
        <w:spacing w:line="300" w:lineRule="auto"/>
        <w:tabs>
          <w:tab w:val="left" w:pos="1440" w:leader="none"/>
        </w:tabs>
        <w:rPr>
          <w:rFonts w:ascii="仿宋" w:hAnsi="仿宋" w:eastAsia="仿宋" w:cs="宋体"/>
          <w:bCs/>
          <w:color w:val="auto"/>
          <w:sz w:val="24"/>
          <w:highlight w:val="none"/>
          <w:lang w:val="zh-CN"/>
        </w:rPr>
      </w:pPr>
      <w:r>
        <w:rPr>
          <w:rFonts w:hint="eastAsia" w:ascii="仿宋" w:hAnsi="仿宋" w:eastAsia="仿宋" w:cs="宋体"/>
          <w:bCs/>
          <w:color w:val="auto"/>
          <w:sz w:val="24"/>
          <w:highlight w:val="none"/>
          <w:lang w:val="zh-CN"/>
        </w:rPr>
        <w:t xml:space="preserve">双方签订合同后支付合同金额的30%，项目完成并经验收合格后一次性付清余款。</w:t>
      </w:r>
      <w:r/>
    </w:p>
    <w:p>
      <w:pPr>
        <w:ind w:firstLine="440"/>
        <w:spacing w:line="300" w:lineRule="auto"/>
        <w:tabs>
          <w:tab w:val="left" w:pos="1440" w:leader="none"/>
        </w:tabs>
        <w:rPr>
          <w:rFonts w:ascii="仿宋" w:hAnsi="仿宋" w:eastAsia="仿宋" w:cs="宋体"/>
          <w:bCs/>
          <w:color w:val="auto"/>
          <w:sz w:val="24"/>
          <w:highlight w:val="none"/>
          <w:lang w:val="zh-CN"/>
        </w:rPr>
      </w:pPr>
      <w:r>
        <w:rPr>
          <w:rFonts w:hint="eastAsia" w:ascii="仿宋" w:hAnsi="仿宋" w:eastAsia="仿宋" w:cs="宋体"/>
          <w:bCs/>
          <w:color w:val="auto"/>
          <w:sz w:val="24"/>
          <w:highlight w:val="none"/>
          <w:lang w:val="zh-CN"/>
        </w:rPr>
        <w:t xml:space="preserve">注：在签订合同时，供应商明确表示无需预付款或者主动要求降低预付款比例的，采购人可不适用预付规定。</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10</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11</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12</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履约保证金（若有）</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甲方的权利和义务</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4</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乙方的权利和义务</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1、对本合同规定的委托服务范围内的项目享有管理权及服务义务。</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2、根据本合同的规定向甲方收取相关服务费用，并有权在本项目管理范围内管理及合理使用。</w:t>
      </w:r>
      <w:r/>
    </w:p>
    <w:p>
      <w:pPr>
        <w:ind w:firstLine="440"/>
        <w:jc w:val="left"/>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3、及时向甲方通告本项目服务范围内有关服务的重大事项，及时配合处理投诉。</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rPr>
        <w:t xml:space="preserve">4、</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5、国家法律、法规所规定由乙方承担的其它责任。</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5</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违约责任</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jc w:val="left"/>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6</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spacing w:line="300" w:lineRule="auto"/>
        <w:rPr>
          <w:rFonts w:ascii="仿宋" w:hAnsi="仿宋" w:eastAsia="仿宋" w:cs="宋体"/>
          <w:b/>
          <w:color w:val="auto"/>
          <w:sz w:val="24"/>
          <w:highlight w:val="none"/>
        </w:rPr>
      </w:pPr>
      <w:r/>
      <w:bookmarkStart w:id="84" w:name="_Toc239568423"/>
      <w:r/>
      <w:bookmarkStart w:id="85" w:name="_Toc225244857"/>
      <w:r/>
      <w:bookmarkStart w:id="86" w:name="_Toc247334846"/>
      <w:r/>
      <w:bookmarkStart w:id="87" w:name="_Toc232492933"/>
      <w:r/>
      <w:bookmarkStart w:id="88" w:name="_Toc286993792"/>
      <w:r/>
      <w:bookmarkStart w:id="89" w:name="_Toc211854454"/>
      <w:r/>
      <w:bookmarkStart w:id="90" w:name="_Toc241833908"/>
      <w:r/>
      <w:bookmarkStart w:id="91" w:name="_Toc225670756"/>
      <w:r/>
      <w:bookmarkStart w:id="92" w:name="_Toc237145411"/>
      <w:r/>
      <w:bookmarkStart w:id="93" w:name="_Toc238984980"/>
      <w:r/>
      <w:bookmarkStart w:id="94" w:name="_Toc239233919"/>
      <w:r/>
      <w:bookmarkStart w:id="95" w:name="_Toc212019599"/>
      <w:r/>
      <w:bookmarkStart w:id="96" w:name="_Toc251768867"/>
      <w:r/>
      <w:bookmarkStart w:id="97" w:name="_Toc185395254"/>
      <w:r/>
      <w:bookmarkStart w:id="98" w:name="_Toc211911353"/>
      <w:r/>
      <w:bookmarkStart w:id="99" w:name="_Toc225654649"/>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7</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解决合同纠纷的方式</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1、在执行本合同中发生的或与本合同有关的争端，双方应通过友好协商解决，经协商在XX天内不能达成协议时，应提交靖江市仲裁委员会仲裁。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spacing w:line="300" w:lineRule="auto"/>
        <w:rPr>
          <w:rFonts w:ascii="仿宋" w:hAnsi="仿宋" w:eastAsia="仿宋" w:cs="宋体"/>
          <w:b/>
          <w:color w:val="auto"/>
          <w:sz w:val="24"/>
          <w:highlight w:val="none"/>
        </w:rPr>
      </w:pPr>
      <w:r/>
      <w:bookmarkStart w:id="100" w:name="_Toc212019600"/>
      <w:r/>
      <w:bookmarkStart w:id="101" w:name="_Toc238984981"/>
      <w:r/>
      <w:bookmarkStart w:id="102" w:name="_Toc232492934"/>
      <w:r/>
      <w:bookmarkStart w:id="103" w:name="_Toc239233920"/>
      <w:r/>
      <w:bookmarkStart w:id="104" w:name="_Toc185395255"/>
      <w:r/>
      <w:bookmarkStart w:id="105" w:name="_Toc247334847"/>
      <w:r/>
      <w:bookmarkStart w:id="106" w:name="_Toc241833909"/>
      <w:r/>
      <w:bookmarkStart w:id="107" w:name="_Toc211911354"/>
      <w:r/>
      <w:bookmarkStart w:id="108" w:name="_Toc282696231"/>
      <w:r/>
      <w:bookmarkStart w:id="109" w:name="_Toc237145412"/>
      <w:r/>
      <w:bookmarkStart w:id="110" w:name="_Toc211854455"/>
      <w:r/>
      <w:bookmarkStart w:id="111" w:name="_Toc225244858"/>
      <w:r/>
      <w:bookmarkStart w:id="112" w:name="_Toc286993793"/>
      <w:r/>
      <w:bookmarkStart w:id="113" w:name="_Toc251768868"/>
      <w:r/>
      <w:bookmarkStart w:id="114" w:name="_Toc225670757"/>
      <w:r/>
      <w:bookmarkStart w:id="115" w:name="_Toc283019219"/>
      <w:r/>
      <w:bookmarkStart w:id="116" w:name="_Toc239568424"/>
      <w:r/>
      <w:bookmarkStart w:id="117" w:name="_Toc225654650"/>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8</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合同</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仿宋" w:hAnsi="仿宋" w:eastAsia="仿宋" w:cs="宋体"/>
          <w:b/>
          <w:color w:val="auto"/>
          <w:sz w:val="24"/>
          <w:highlight w:val="none"/>
        </w:rPr>
        <w:t xml:space="preserve">生效及其他</w:t>
      </w:r>
      <w:r/>
    </w:p>
    <w:p>
      <w:pPr>
        <w:pStyle w:val="1376"/>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376"/>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376"/>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9</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附件</w:t>
      </w:r>
      <w:r/>
    </w:p>
    <w:p>
      <w:pPr>
        <w:pStyle w:val="1376"/>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376"/>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376"/>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376"/>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376"/>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197"/>
        <w:ind w:firstLine="482"/>
        <w:rPr>
          <w:color w:val="auto"/>
          <w:highlight w:val="none"/>
        </w:rPr>
      </w:pPr>
      <w:r>
        <w:rPr>
          <w:rFonts w:hint="eastAsia" w:ascii="仿宋" w:hAnsi="仿宋" w:eastAsia="仿宋" w:cs="宋体"/>
          <w:b/>
          <w:color w:val="auto"/>
          <w:sz w:val="24"/>
          <w:szCs w:val="24"/>
          <w:highlight w:val="none"/>
        </w:rPr>
        <w:t xml:space="preserve">注：本合同为简易版本，使用过程中，请结合具体项目，充实细化。</w:t>
      </w:r>
      <w:r/>
    </w:p>
    <w:p>
      <w:pPr>
        <w:pStyle w:val="1197"/>
        <w:ind w:firstLine="482"/>
        <w:rPr>
          <w:color w:val="auto"/>
          <w:highlight w:val="none"/>
        </w:rPr>
      </w:pPr>
      <w:r>
        <w:rPr>
          <w:color w:val="auto"/>
          <w:highlight w:val="none"/>
        </w:rPr>
      </w:r>
      <w:r/>
    </w:p>
    <w:p>
      <w:pPr>
        <w:pStyle w:val="1104"/>
        <w:jc w:val="center"/>
        <w:spacing w:before="0" w:after="0" w:line="300" w:lineRule="auto"/>
        <w:rPr>
          <w:rFonts w:ascii="仿宋" w:hAnsi="仿宋" w:eastAsia="仿宋" w:cs="仿宋"/>
          <w:color w:val="auto"/>
          <w:sz w:val="28"/>
          <w:szCs w:val="28"/>
          <w:highlight w:val="none"/>
        </w:rPr>
      </w:pPr>
      <w:r/>
      <w:bookmarkStart w:id="118" w:name="_Toc329009670"/>
      <w:r>
        <w:rPr>
          <w:rFonts w:hint="eastAsia" w:ascii="仿宋" w:hAnsi="仿宋" w:eastAsia="仿宋" w:cs="仿宋"/>
          <w:color w:val="auto"/>
          <w:sz w:val="28"/>
          <w:szCs w:val="28"/>
          <w:highlight w:val="none"/>
        </w:rPr>
        <w:t xml:space="preserve">第八章  纪律和监督</w:t>
      </w:r>
      <w:bookmarkEnd w:id="118"/>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41</w:t>
      </w:r>
      <w:r>
        <w:rPr>
          <w:rFonts w:hint="eastAsia" w:ascii="仿宋" w:hAnsi="仿宋" w:eastAsia="仿宋" w:cs="仿宋"/>
          <w:b/>
          <w:color w:val="auto"/>
          <w:sz w:val="28"/>
          <w:szCs w:val="28"/>
          <w:highlight w:val="none"/>
          <w:lang w:val="zh-CN"/>
        </w:rPr>
        <w:t xml:space="preserve">.纪律和监督</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.1 对采购人的纪律要求</w:t>
      </w:r>
      <w:r/>
    </w:p>
    <w:p>
      <w:pPr>
        <w:ind w:firstLine="36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采购人不得泄漏磋商响应活动中应当保密的情况和资料，不得与供应商串通损害国家利益、社会公共利益或者他人合法权益。</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.2 对供应商的纪律要求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供应商不得互相串通或者与采购人串通响应，不得向采购人或者磋商小组成员行贿谋取中标；不得以他人名义响应或者以其他方式弄虚作假骗取中标；供应商不得以任何方式干扰、影响评标工作。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.3 对磋商小组成员的纪律要求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超出本磋商文件有关规定的评审因素和评标标准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.4 对与评标活动有关的工作人员的纪律要求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Start w:id="119" w:name="_Toc329009671"/>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第九章  质疑与投诉</w:t>
      </w:r>
      <w:bookmarkEnd w:id="119"/>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val="zh-CN"/>
        </w:rPr>
        <w:t xml:space="preserve">.质疑</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第六章有关规定，参加本次政府采购活动的供应商认为磋商文件、磋商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.1质疑书内容应包括以下主要内容：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.1.1质疑人的名称、地址、电话等；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.1.2具体的质疑事项、证据以及法律、法规依据；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.1.3提出质疑的日期。</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.3除书面形式外，其他任何方式的质疑，采购人或者采购代理机构均不予接受和回复。</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43</w:t>
      </w:r>
      <w:r>
        <w:rPr>
          <w:rFonts w:hint="eastAsia" w:ascii="仿宋" w:hAnsi="仿宋" w:eastAsia="仿宋" w:cs="仿宋"/>
          <w:b/>
          <w:bCs/>
          <w:color w:val="auto"/>
          <w:sz w:val="28"/>
          <w:szCs w:val="28"/>
          <w:highlight w:val="none"/>
          <w:lang w:val="zh-CN"/>
        </w:rPr>
        <w:t xml:space="preserve">.投诉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.1投诉人提起投诉应符合下列条件：</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.1.1投诉人是参与所投诉政府采购活动的供应商；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.1.2提起投诉前已依法进行质疑；</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.1.3投诉书内容符合财政部《政府采购质疑和投诉办法》（第94号令）规定；</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.1.4在投诉有效期限内提起投诉；</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.1.5属于本财政部门管辖；</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.1.6同一投诉事项未经财政部门投诉处理；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.1.7法律法规规定的其他条件。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.2投诉人投诉时，应当提交投诉书，并按照被投诉采购人、采购代理机构和与投诉事项有关的供应商数量提供投诉书的副本。</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.3投诉书应当包括以下主要内容：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.3.1投诉人和被投诉人的名称、地址、电话等；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.3.2具体的投诉事宜以及事实依据；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4.3.3质疑书和质疑答复情况以及相关证明材料；</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.3.4提起投诉的日期。</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.5投诉人不符合上述规定提起的投诉，财政部门不予受理。</w:t>
      </w:r>
      <w:r/>
    </w:p>
    <w:p>
      <w:pPr>
        <w:pStyle w:val="1168"/>
        <w:spacing w:before="240"/>
        <w:rPr>
          <w:color w:val="auto"/>
          <w:highlight w:val="none"/>
          <w:lang w:val="zh-CN"/>
        </w:rPr>
      </w:pPr>
      <w:r>
        <w:rPr>
          <w:color w:val="auto"/>
          <w:highlight w:val="none"/>
          <w:lang w:val="zh-CN"/>
        </w:rPr>
      </w:r>
      <w:r/>
    </w:p>
    <w:p>
      <w:pPr>
        <w:pStyle w:val="1104"/>
        <w:jc w:val="center"/>
        <w:spacing w:before="0" w:after="0" w:line="300" w:lineRule="auto"/>
        <w:rPr>
          <w:rFonts w:ascii="仿宋" w:hAnsi="仿宋" w:eastAsia="仿宋" w:cs="仿宋"/>
          <w:color w:val="auto"/>
          <w:sz w:val="28"/>
          <w:szCs w:val="28"/>
          <w:highlight w:val="none"/>
        </w:rPr>
      </w:pPr>
      <w:r/>
      <w:bookmarkStart w:id="120" w:name="_Toc329009672"/>
      <w:r>
        <w:rPr>
          <w:rFonts w:hint="eastAsia" w:ascii="仿宋" w:hAnsi="仿宋" w:eastAsia="仿宋" w:cs="仿宋"/>
          <w:color w:val="auto"/>
          <w:sz w:val="28"/>
          <w:szCs w:val="28"/>
          <w:highlight w:val="none"/>
        </w:rPr>
        <w:t xml:space="preserve">第十章  提供服务的时间</w:t>
      </w:r>
      <w:bookmarkEnd w:id="120"/>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44</w:t>
      </w:r>
      <w:r>
        <w:rPr>
          <w:rFonts w:hint="eastAsia" w:ascii="仿宋" w:hAnsi="仿宋" w:eastAsia="仿宋" w:cs="仿宋"/>
          <w:b/>
          <w:bCs/>
          <w:color w:val="auto"/>
          <w:sz w:val="28"/>
          <w:szCs w:val="28"/>
          <w:highlight w:val="none"/>
          <w:lang w:val="zh-CN"/>
        </w:rPr>
        <w:t xml:space="preserve">.服务期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见供应商前附表须知</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45</w:t>
      </w:r>
      <w:r>
        <w:rPr>
          <w:rFonts w:hint="eastAsia" w:ascii="仿宋" w:hAnsi="仿宋" w:eastAsia="仿宋" w:cs="仿宋"/>
          <w:b/>
          <w:bCs/>
          <w:color w:val="auto"/>
          <w:sz w:val="28"/>
          <w:szCs w:val="28"/>
          <w:highlight w:val="none"/>
          <w:lang w:val="zh-CN"/>
        </w:rPr>
        <w:t xml:space="preserve">.服务地点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靖江市自然资源和规划局指定地点。</w:t>
      </w:r>
      <w:r/>
    </w:p>
    <w:p>
      <w:pPr>
        <w:spacing w:line="300" w:lineRule="auto"/>
        <w:rPr>
          <w:rFonts w:ascii="仿宋" w:hAnsi="仿宋" w:eastAsia="仿宋" w:cs="仿宋"/>
          <w:color w:val="auto"/>
          <w:sz w:val="28"/>
          <w:szCs w:val="28"/>
          <w:highlight w:val="none"/>
          <w:lang w:val="zh-CN"/>
        </w:rPr>
      </w:pPr>
      <w:r>
        <w:rPr>
          <w:rFonts w:hint="eastAsia" w:ascii="仿宋" w:hAnsi="仿宋" w:eastAsia="仿宋" w:cs="仿宋"/>
          <w:b/>
          <w:bCs/>
          <w:color w:val="auto"/>
          <w:sz w:val="28"/>
          <w:szCs w:val="28"/>
          <w:highlight w:val="none"/>
        </w:rPr>
        <w:t xml:space="preserve">46</w:t>
      </w:r>
      <w:r>
        <w:rPr>
          <w:rFonts w:hint="eastAsia" w:ascii="仿宋" w:hAnsi="仿宋" w:eastAsia="仿宋" w:cs="仿宋"/>
          <w:b/>
          <w:bCs/>
          <w:color w:val="auto"/>
          <w:sz w:val="28"/>
          <w:szCs w:val="28"/>
          <w:highlight w:val="none"/>
          <w:lang w:val="zh-CN"/>
        </w:rPr>
        <w:t xml:space="preserve">.验收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47</w:t>
      </w:r>
      <w:r>
        <w:rPr>
          <w:rFonts w:hint="eastAsia" w:ascii="仿宋" w:hAnsi="仿宋" w:eastAsia="仿宋" w:cs="仿宋"/>
          <w:b/>
          <w:bCs/>
          <w:color w:val="auto"/>
          <w:sz w:val="28"/>
          <w:szCs w:val="28"/>
          <w:highlight w:val="none"/>
          <w:lang w:val="zh-CN"/>
        </w:rPr>
        <w:t xml:space="preserve">.售后服务</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pStyle w:val="1104"/>
        <w:ind w:firstLine="2670"/>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第十一章   项目需求以及技术要求</w:t>
      </w:r>
      <w:bookmarkEnd w:id="51"/>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48</w:t>
      </w:r>
      <w:r>
        <w:rPr>
          <w:rFonts w:hint="eastAsia" w:ascii="仿宋" w:hAnsi="仿宋" w:eastAsia="仿宋" w:cs="仿宋"/>
          <w:b/>
          <w:color w:val="auto"/>
          <w:sz w:val="28"/>
          <w:szCs w:val="28"/>
          <w:highlight w:val="none"/>
          <w:lang w:val="zh-CN"/>
        </w:rPr>
        <w:t xml:space="preserve">.项目说明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.1本章内容是根据采购项目的实际需求制定的。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.2本项目共分为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1</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lang w:val="zh-CN"/>
        </w:rPr>
        <w:t xml:space="preserve">个标包进行磋商。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.3服务质量达到国家有关标准。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49</w:t>
      </w:r>
      <w:r>
        <w:rPr>
          <w:rFonts w:hint="eastAsia" w:ascii="仿宋" w:hAnsi="仿宋" w:eastAsia="仿宋" w:cs="仿宋"/>
          <w:b/>
          <w:bCs/>
          <w:color w:val="auto"/>
          <w:sz w:val="28"/>
          <w:szCs w:val="28"/>
          <w:highlight w:val="none"/>
          <w:lang w:val="zh-CN"/>
        </w:rPr>
        <w:t xml:space="preserve">.磋商服务的技术规格、要求和数量（包括附件、图纸等）</w:t>
      </w:r>
      <w:bookmarkEnd w:id="52"/>
      <w:r/>
      <w:bookmarkEnd w:id="53"/>
      <w:r/>
      <w:bookmarkEnd w:id="54"/>
      <w:r/>
      <w:bookmarkEnd w:id="55"/>
      <w:r/>
      <w:bookmarkEnd w:id="56"/>
      <w:r/>
      <w:bookmarkEnd w:id="57"/>
      <w:r/>
      <w:bookmarkEnd w:id="58"/>
      <w:r/>
      <w:bookmarkEnd w:id="59"/>
      <w:r/>
      <w:bookmarkEnd w:id="60"/>
      <w:r/>
      <w:bookmarkEnd w:id="61"/>
      <w:r/>
      <w:r/>
    </w:p>
    <w:p>
      <w:pPr>
        <w:ind w:firstLine="482"/>
        <w:spacing w:line="38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49.1项目背景</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为深入践行“绿水青山就是金山银山”理念，贯彻落实习近平总书记关于加强文化和自然遗产传承、利用工作，立足本地资源禀赋特点、体现本地优势和特色，把自然风光和人文风情转化为旅游业的持续魅力等重要指示精神，根据《自然资源部办公厅关于进一步开展区域特色自然和人文资源调査试点工作的通知》（自然资办函〔</w:t>
      </w:r>
      <w:r>
        <w:rPr>
          <w:rFonts w:ascii="仿宋" w:hAnsi="仿宋" w:eastAsia="仿宋" w:cs="仿宋"/>
          <w:color w:val="auto"/>
          <w:sz w:val="24"/>
          <w:highlight w:val="none"/>
        </w:rPr>
        <w:t xml:space="preserve">2025</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1163</w:t>
      </w:r>
      <w:r>
        <w:rPr>
          <w:rFonts w:hint="eastAsia" w:ascii="仿宋" w:hAnsi="仿宋" w:eastAsia="仿宋" w:cs="仿宋"/>
          <w:color w:val="auto"/>
          <w:sz w:val="24"/>
          <w:highlight w:val="none"/>
        </w:rPr>
        <w:t xml:space="preserve">号）和《江苏省自然资源厅关于做好第二批自然资源部区域特色自然和人文资源调查试点工作的通知》，靖江市开展泰州市靖江滨江风光带特色自然与人文资源调查工作，全面摸清区域特色自然和人文资源数据，厘清各类特色资源数量、范围、历史价值、生态价值、社会价值等信息以及保护管控范围，有效支撑自然和人文资源的精准管控、传承利用和价值转化以及国土空间规划管控和体检评估，为区域经济社会高质量发展和“两山”高效转化提供科学依据和支撑。</w:t>
      </w:r>
      <w:r/>
    </w:p>
    <w:p>
      <w:pPr>
        <w:ind w:firstLine="482"/>
        <w:spacing w:line="38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49.2工作内容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自然资源部试点工作要求，在我省试点工作经验的基础上，深入调查具有地域标识性、价值稀缺性、资源互补性、利用持续性等特征的自然和人文资源，进一步探索区域特色自然和人文资源调查指标体系、方法路径、成果体系，形成具有区域特色的应用场景和可持续传承、利用方式，衔接国土空间保护、开发工作，支撑自然和人文资源的精准管控、传承利用和价值转化，支撑国土空间规划管控和城市体检评估，探索“两山”转化路径。通过对泰州市靖江滨江风光带区域特色自然和人文资源的调查摸底，立足资源禀赋特点、体现本地优势和特色。具体建设目标如下：</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（1）建设特色资源数据库。完成试点区域特色自然和人文资源调查，形成包括自然资源、生态图谱、文化遗产名录、数字影像档案在内的综合数据库，为科学保护提供数据支撑。</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（2）明确生态理念。生态优先，以江兴城，坚持长江保护理念，充分依托 滨江近海的优势，推动实现生态价值向民生福祉的高效转化。</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（3）推动生态保护。摸清试点区域内自然家底，与规划管控衔接，推动生态保护、长江湿地修复，发挥其生态服务与休闲价值。</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（4）加强文旅融合。结合湿地观鸟、江鲜美食、东线第一帆等特色体验，打造滨江生态旅游观光点，培育文旅新业态。</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（5）赋能城市发展。将调查成果与国土空间保护、开发、文旅融合等工作衔接，推动文化资源与生态资源协同转化，为区域高质量发展赋能。</w:t>
      </w:r>
      <w:r/>
    </w:p>
    <w:p>
      <w:pPr>
        <w:ind w:firstLine="482"/>
        <w:spacing w:line="380" w:lineRule="exact"/>
        <w:tabs>
          <w:tab w:val="left" w:pos="7560"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49.3工作依据</w:t>
      </w:r>
      <w:r/>
    </w:p>
    <w:p>
      <w:pPr>
        <w:ind w:firstLine="482"/>
        <w:spacing w:line="38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49.3.1技术标准</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TD/T 1055-2019《第三次全国国土调查技术规程》；</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LY/T 3291-2021《自然保护地分类分级》；</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GB/T 14529-93《自然保护区类型与级别划分原则》；</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 LY/T 3189-2020《国家公园资源调查与评价规范》；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 LY/T 1820-2009《野生植物资源调查技术规程》；</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 DZ/T 0306-2017《城市地质调查规范》；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 DZ/T 0303-2017《地质遗迹调查规范》；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 LY/T 2737-2016《古树名木鉴定规范》；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 LY/T 2738-2016《古树名木普查技术规范》；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 DB32/T 4689-2024《地名文化遗产鉴定规范》；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 GB/T 51346-2019《城市绿地规划标准》；</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 DZ/T 0226-2020《矿产资源规划数据库标准》；</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 GB/T 17766-2020《固体矿产资源储量分类》；</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14） HJ 338-2018《饮用水水源保护区划分技术规范》；</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15） GB/T 18972-2017《旅游资源分类、调查与评价》；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16） GB/T 17775-2024《旅游景区质量等级划分》；</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 GB/T 20257《国家基本比例尺地图图式第2 部分：1:5000 1:10000 地形图图式》；</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 GB/T 18316-2008《数字测绘成果质量检查与验收》；</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19） GB/T 24356-2023《测绘成果质量检查与验收》。</w:t>
      </w:r>
      <w:r/>
    </w:p>
    <w:p>
      <w:pPr>
        <w:ind w:firstLine="482"/>
        <w:spacing w:line="38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49.3.2政策文件</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1）《自然资源部办公厅关于进一步开展区域特色自然和人文资源调査试</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点工作的通知》（自然资办函〔2025〕1163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2）《江苏省自然资源厅关于做好第二批自然资源部区域特色自然和人文资源调查试点工作的通知》；</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3）《区域特色自然和人文资源调查工作指南（试行）》；</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4）《区域特色自然和人文资源调查技术导则（试行）》；</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5）《全国旅游景区管理系统使用手册》（2010 年版）；</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6）《国家林业和草原局关于开展林草湿数据与第三次全国国土调查数据对接融合和国家级公益林优化工作的通知》（林资发〔2021〕53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7）《自然资源部办公厅关于加快推进矿产资源规划数据库（2021-2025 年）建设有关工作的通知》（自然资办函〔2021〕2004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8）《水利部办公厅关于开展国家水利遗产认定申报工作的通知》（办宣〔2021〕303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9）《国家林业和草原局森林资源管理司关于印发&lt;2022 年全国森林、草原、湿地调查监测技术规程&gt;&lt;2022 年全国森林、草原、湿地调查监测质量检查办法（试行）&gt;的通知》；</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（10）《第四次全国文物普查总体方案》（文物普查发〔2024〕1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（11）《第四次全国文物普查领导小组办公室关于印发第四次全国文物普查标准、登记表和著录说明的通知》（文物普查发〔2024〕41 号）；</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（12）《自然资源部国家林业和草原局关于开展全国森林草原湿地荒漠化普查工作的通知》（自然资发〔2024〕78 号）；</w:t>
      </w:r>
      <w:r/>
    </w:p>
    <w:p>
      <w:pPr>
        <w:ind w:firstLine="480"/>
        <w:spacing w:line="380" w:lineRule="exact"/>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（13）《关于印发〈历史建筑经济价值评估指引（试行）〉的通知》。</w:t>
      </w:r>
      <w:r/>
    </w:p>
    <w:p>
      <w:pPr>
        <w:ind w:firstLine="482"/>
        <w:spacing w:line="380" w:lineRule="exact"/>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49</w:t>
      </w:r>
      <w:r>
        <w:rPr>
          <w:rFonts w:hint="eastAsia" w:ascii="仿宋" w:hAnsi="仿宋" w:eastAsia="仿宋" w:cs="仿宋"/>
          <w:b/>
          <w:color w:val="auto"/>
          <w:sz w:val="24"/>
          <w:highlight w:val="none"/>
        </w:rPr>
        <w:t xml:space="preserve">.4调查范围</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靖江滨江风光带位于靖江市区最南端，地处长江下游北岸，是长江国家文化公园的核心区，东至牧城公园东界，西至五圩港，南至靖江市域南界（含长江水面），北至S356省道（沿江高等级公路），总面积约27平方千米。</w:t>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5774690" cy="3705225"/>
                <wp:effectExtent l="1905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839734" name="图片 1"/>
                        <pic:cNvPicPr>
                          <a:picLocks noChangeAspect="1"/>
                        </pic:cNvPicPr>
                        <pic:nvPr/>
                      </pic:nvPicPr>
                      <pic:blipFill>
                        <a:blip r:embed="rId31"/>
                        <a:stretch/>
                      </pic:blipFill>
                      <pic:spPr bwMode="auto">
                        <a:xfrm>
                          <a:off x="0" y="0"/>
                          <a:ext cx="5782880" cy="3710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4.7pt;height:291.8pt;mso-wrap-distance-left:0.0pt;mso-wrap-distance-top:0.0pt;mso-wrap-distance-right:0.0pt;mso-wrap-distance-bottom:0.0pt;" stroked="false">
                <v:path textboxrect="0,0,0,0"/>
                <v:imagedata r:id="rId31" o:title=""/>
              </v:shape>
            </w:pict>
          </mc:Fallback>
        </mc:AlternateConten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图 1-1 靖江市滨江风光带区域位置图</w:t>
      </w:r>
      <w:r/>
    </w:p>
    <w:p>
      <w:pPr>
        <w:ind w:firstLine="482"/>
        <w:spacing w:line="380" w:lineRule="exact"/>
        <w:rPr>
          <w:rFonts w:ascii="仿宋" w:hAnsi="仿宋" w:eastAsia="仿宋" w:cs="仿宋"/>
          <w:color w:val="auto"/>
          <w:sz w:val="24"/>
          <w:highlight w:val="none"/>
        </w:rPr>
      </w:pPr>
      <w:r>
        <w:rPr>
          <w:rFonts w:hint="eastAsia" w:ascii="仿宋" w:hAnsi="仿宋" w:eastAsia="仿宋" w:cs="仿宋"/>
          <w:b/>
          <w:color w:val="auto"/>
          <w:sz w:val="24"/>
          <w:highlight w:val="none"/>
        </w:rPr>
        <w:t xml:space="preserve">49.5调查对象</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调查对象为在自然和人类相互作用过程中形成的空间单元内，凝结成的具有地域标识性、价值稀缺性、资源互补性、利用持续性等特征的自然、人文资源。主要包括以下内容：</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（1）基本情况：靖江滨江风光带的自然和人文环境、景区基本情况、旅游设施、旅游服务接待情况、城市依托条件等相关信息。</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（2）自然资源状况：调查试点区域范围内天然形成或长期自然演化产生的生态系统、地貌景观及生物多样性等资源情况。</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（3）人文资源状况：以文物普查、物质和非物质文化遗产为基础，调查文物古迹、民风民俗等相关情况。</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保护要求：以国土空间规划、生态保护规划、环境保护规划等自然和人文资源保护规划为依据，查清各类法律、法规或规划红线对试点区域内各类自然和人文资源的生态保护要求；以依法确定的自然资源用途管制规划为依据，调 查相应的用途管制要求；以依法确定的其他特殊保护规划为依据，调查相应的特殊保护要求。</w:t>
      </w:r>
      <w:r/>
    </w:p>
    <w:p>
      <w:pPr>
        <w:ind w:firstLine="480"/>
        <w:jc w:val="left"/>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49.6工作内容</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对靖江滨江风光带的自然风光、人文风情和文化景观特色进行摸底，在部下 发的《区域特色自然和人文资源调查技术导则（试行）》（以下简称《技术导则》） 中的调查指标体系基础上，科学选择地域适配性指标，结合区域资源禀赋和特点，优化完善区域特色自然和人文资源分类指标体系，丰富空间要素分层与定义，按 照单体资源与复合体资源相结合、点线面相结合的分类原则，以特色自然资源和特色人文资源为主体，以其他特色资源为补充，开展特色自然资源与人文资源分析评价，优化应用场景，加深自然和人文资源的融合程度。</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（1）资料收集与分析整理</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按照集成创新的工作模式，聚焦长江湿地保护、文化旅游、历史遗迹、现代 产业等，从地质地貌、生物生态、水文水系、物质和非物质文化遗产、红色文化、水利遗产、文旅与创意、产业与科技等多方面，充分搜集现有资料，包括多源遥感影像、自然资源调查监测成果、基础测绘成果（含实景三维）、自 然资源资产清查成果、文物普查成果、生物多样性调查成果、地质调查成果、相关国土空间规划资料、社会经济数据以及相关历史背景、研究论文、政策文献等文字记录性材料。</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（2）实地补充调查</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对于依据资料难以准确判定空间或属性信息的，或需要新增和细化内容的特色自然和人文资源，应形成补充调查文件，并通过实地拍照、无人机全景拍摄等形式开展实地补充调查。</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（3）数据整合与数据库建设</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收集、调查到的各类数据资料进行整合，将区域内具有空间范围矢量数据的区域特色资源类型、补充调查成果以及空间化处理后的文档、表单、图件等数据集成至相应数据层，量化各类特色资源的数量、范围、价值等属性，构建统一的区域特色自然和人文资源基础数据库。</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（4）专题图制作与空间化表达</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依据调查成果，编制特色资源总图、特色自然资源图、特色人文资源图、其他特色资源图、成果分析应用图等专题图件，可根据实际需要，编制靖江风光带时空变化图集。基于“天地图∙靖江”，充分展示靖江滨江风光带特色自然和人文资源。</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（5）分析评价与成果应用</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基于区域特色自然和人文资源调查成果，充分挖掘特色资源的经济价值、</w:t>
      </w:r>
      <w:r>
        <w:rPr>
          <w:rFonts w:hint="eastAsia" w:ascii="仿宋" w:hAnsi="仿宋" w:eastAsia="仿宋" w:cs="仿宋"/>
          <w:color w:val="auto"/>
          <w:sz w:val="24"/>
          <w:highlight w:val="none"/>
        </w:rPr>
        <w:t xml:space="preserve">生态价值和社会价值，优化完善《技术导则（试行）》中的分析评价体系，开展区域特色自然和人文资源调查分析评价。结合本地特色和实际，紧密衔接国土空间规划、长江生态保护修复等工作，辅助区域国土空间用途、空间形态和景观风貌合理规划与设计，支撑国土空间管控、历史文化名城名街保护规划编制与实施监督管理等工作；从生态产业化、产业生态化、文化赋能等多个维度，完善调查成果应用机制，积极探索调查成果在生态保护与旅游开发、自然资源生态产品价值转化、文化推广与宣传教育、特色品牌塑造等方面的应用场景及成果转化路径，支撑区域高质量发展。</w:t>
      </w:r>
      <w:r/>
    </w:p>
    <w:p>
      <w:pPr>
        <w:ind w:firstLine="480"/>
        <w:jc w:val="left"/>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49.7工作成果</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（1）数据成果</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靖江滨江风光带区域特色自然和人文资源调查数据库成果，包括基础数据库、 区域特色自然和人文资源管理数据库。其中，基础数据库包含区域特色自然资源、 特色人文资源、其他特色资源要素数据层；管理数据库包含但不限于区域特色自然资源、特色人文资源数据层。</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（2）图件成果</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靖江滨江风光带区域特色自然和人文资源调查专题图成果。包括总图、特色 自然资源图、特色人文资源图、其他特色资源图、资源保护规划图和成果分析应 用图。</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（3）文档成果</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1）靖江滨江风光带区域特色自然与人文资源调查技术方案；</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2）靖江滨江风光带区域特色自然与人文资源调查工作总结；</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3）靖江滨江风光带区域特色自然与人文资源调查技术总结；</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4）靖江滨江风光带区域特色自然与人文资源成果分析应用报告；</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5）工作指南和技术导则完善意见。</w:t>
      </w:r>
      <w:r/>
    </w:p>
    <w:p>
      <w:pPr>
        <w:ind w:firstLine="48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49.8人员要求</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48.1配备的项目负责人具有正（研究员级）高级工程师（测绘）证书、注册测绘师资格证书、省级及以上涉密测绘成果管理人员岗位培训证书；</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48.2配备的技术负责人具有正（研究员级）高级工程师（测绘）证书、注册测绘师资格证书、省级及以上涉密测绘成果管理人员岗位培训证书；</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48.3配备的质量负责人具有高级工程师（测绘）及以上证书、注册测绘师资格证书、省级及以上涉密测绘成果管理人员岗位培训证书；</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48.4配备的其他成员（除项目负责人、技术负责人、质量负责人外）同时具备测绘类高级工程师及以上职称证书、注册测绘师资格证书10名及以上。</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以上须提供人员相关证书扫描件及在供应商处缴纳的近半年任意一个月社保证明材料并加盖公章。</w:t>
      </w:r>
      <w:r/>
    </w:p>
    <w:p>
      <w:pPr>
        <w:ind w:firstLine="480"/>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49.9</w:t>
      </w:r>
      <w:r>
        <w:rPr>
          <w:rFonts w:hint="eastAsia" w:ascii="仿宋" w:hAnsi="仿宋" w:eastAsia="仿宋" w:cs="仿宋"/>
          <w:b/>
          <w:bCs/>
          <w:color w:val="auto"/>
          <w:sz w:val="24"/>
          <w:highlight w:val="none"/>
          <w:lang w:val="zh-CN"/>
        </w:rPr>
        <w:t xml:space="preserve">其他要求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49.9.1</w:t>
      </w:r>
      <w:r>
        <w:rPr>
          <w:rFonts w:hint="eastAsia" w:ascii="仿宋" w:hAnsi="仿宋" w:eastAsia="仿宋" w:cs="仿宋"/>
          <w:color w:val="auto"/>
          <w:sz w:val="24"/>
          <w:highlight w:val="none"/>
          <w:lang w:val="zh-CN"/>
        </w:rPr>
        <w:t xml:space="preserve">保密要求:中标人在项目实施过程中,对采购人所提供的所有相关资料、数据,未经采购人许可不得向任何第三人泄露,且保密责任不因合同的终止或解除而失效。如发生以上情况,中标人应承担法律责任。如采购人提出要求,中标人须无条件与采购人签订保密协议。</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49.9.2</w:t>
      </w:r>
      <w:r>
        <w:rPr>
          <w:rFonts w:hint="eastAsia" w:ascii="仿宋" w:hAnsi="仿宋" w:eastAsia="仿宋" w:cs="仿宋"/>
          <w:color w:val="auto"/>
          <w:sz w:val="24"/>
          <w:highlight w:val="none"/>
          <w:lang w:val="zh-CN"/>
        </w:rPr>
        <w:t xml:space="preserve">成果的归属</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本项目的所有成果著作权等知识产权和所有权益归采购人所有。未经采购人同意，中标人不得引用、发表和向第三者提供；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采购人引用中标人的工作成果所完成的新的技术成果,属于采购人所有,采购人可依法享有就该项技术成果取得的精神权利、经济权利和其他权利；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无论发生何种情形(包括但不限于合同提前终止或解除) ,采购人均有权利用中标人的阶段性工作成果,并且采购人引用中标人的阶段性工作成果所完成的新的技术成果,属于采购人所有,采购人可依法享有就该项技术成果取得的精神权利、经济权利和其他权利。</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49.8.3</w:t>
      </w:r>
      <w:r>
        <w:rPr>
          <w:rFonts w:hint="eastAsia" w:ascii="仿宋" w:hAnsi="仿宋" w:eastAsia="仿宋" w:cs="仿宋"/>
          <w:color w:val="auto"/>
          <w:sz w:val="24"/>
          <w:highlight w:val="none"/>
          <w:lang w:val="zh-CN"/>
        </w:rPr>
        <w:t xml:space="preserve">凡涉及招标文件的补充说明和修改，均以招标代理机构书面通知为准。</w:t>
      </w:r>
      <w:r/>
    </w:p>
    <w:p>
      <w:pPr>
        <w:pStyle w:val="908"/>
        <w:rPr>
          <w:color w:val="auto"/>
          <w:highlight w:val="none"/>
        </w:rPr>
      </w:pPr>
      <w:r>
        <w:rPr>
          <w:color w:val="auto"/>
          <w:highlight w:val="none"/>
        </w:rPr>
      </w:r>
      <w:r/>
    </w:p>
    <w:p>
      <w:pPr>
        <w:jc w:val="cente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第十二章  评标办法（综合评分法）</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50</w:t>
      </w:r>
      <w:r>
        <w:rPr>
          <w:rFonts w:hint="eastAsia" w:ascii="仿宋" w:hAnsi="仿宋" w:eastAsia="仿宋" w:cs="仿宋"/>
          <w:b/>
          <w:bCs/>
          <w:color w:val="auto"/>
          <w:sz w:val="28"/>
          <w:szCs w:val="28"/>
          <w:highlight w:val="none"/>
          <w:lang w:val="zh-CN"/>
        </w:rPr>
        <w:t xml:space="preserve">.相关要求</w:t>
      </w:r>
      <w:r/>
    </w:p>
    <w:p>
      <w:pPr>
        <w:pStyle w:val="110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108"/>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10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50.4落实财政政策：</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w:t>
      </w:r>
      <w:r>
        <w:rPr>
          <w:rFonts w:ascii="仿宋" w:hAnsi="仿宋" w:eastAsia="仿宋"/>
          <w:color w:val="auto"/>
          <w:sz w:val="24"/>
          <w:highlight w:val="none"/>
          <w:lang w:val="zh-CN"/>
        </w:rPr>
        <w:t xml:space="preserve">.4.1针对</w:t>
      </w:r>
      <w:r>
        <w:rPr>
          <w:rFonts w:ascii="仿宋" w:hAnsi="仿宋" w:eastAsia="仿宋"/>
          <w:color w:val="auto"/>
          <w:sz w:val="24"/>
          <w:highlight w:val="none"/>
        </w:rPr>
        <w:t xml:space="preserve">小微</w:t>
      </w:r>
      <w:r>
        <w:rPr>
          <w:rFonts w:ascii="仿宋" w:hAnsi="仿宋" w:eastAsia="仿宋"/>
          <w:color w:val="auto"/>
          <w:sz w:val="24"/>
          <w:highlight w:val="none"/>
          <w:lang w:val="zh-CN"/>
        </w:rPr>
        <w:t xml:space="preserve">企业的评审加分：</w:t>
      </w:r>
      <w:r/>
    </w:p>
    <w:p>
      <w:pPr>
        <w:pStyle w:val="110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根据财政部、工业和信息化部关于印发《政府采购促进中小企业发展管理办法》的通知（财库〔2020〕46号）和苏财购〔2021〕34号规定和《关于进一步加大政府采购支持中小企业力度的通知》（财库〔2022〕19号），对属于小型、微型企业的</w:t>
      </w:r>
      <w:r>
        <w:rPr>
          <w:rFonts w:hint="eastAsia" w:ascii="仿宋" w:hAnsi="仿宋" w:eastAsia="仿宋"/>
          <w:color w:val="auto"/>
          <w:sz w:val="24"/>
          <w:highlight w:val="none"/>
          <w:lang w:val="zh-CN"/>
        </w:rPr>
        <w:t xml:space="preserve">供应商</w:t>
      </w:r>
      <w:r>
        <w:rPr>
          <w:rFonts w:ascii="仿宋" w:hAnsi="仿宋" w:eastAsia="仿宋"/>
          <w:color w:val="auto"/>
          <w:sz w:val="24"/>
          <w:highlight w:val="none"/>
          <w:lang w:val="zh-CN"/>
        </w:rPr>
        <w:t xml:space="preserve">给予评审加分：</w:t>
      </w:r>
      <w:r/>
    </w:p>
    <w:p>
      <w:pPr>
        <w:pStyle w:val="110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如</w:t>
      </w:r>
      <w:r>
        <w:rPr>
          <w:rFonts w:hint="eastAsia" w:ascii="仿宋" w:hAnsi="仿宋" w:eastAsia="仿宋"/>
          <w:color w:val="auto"/>
          <w:sz w:val="24"/>
          <w:highlight w:val="none"/>
          <w:lang w:val="zh-CN"/>
        </w:rPr>
        <w:t xml:space="preserve">供应商</w:t>
      </w:r>
      <w:r>
        <w:rPr>
          <w:rFonts w:ascii="仿宋" w:hAnsi="仿宋" w:eastAsia="仿宋"/>
          <w:color w:val="auto"/>
          <w:sz w:val="24"/>
          <w:highlight w:val="none"/>
          <w:lang w:val="zh-CN"/>
        </w:rPr>
        <w:t xml:space="preserve">认定本企业为小型或微型企业，则需根据“工信部联企业〔2011〕300号”通知中的《中小企业划型标准规定》填报“中小企业声明函”或提供当地区/县级以上（含区/县级）中小企业主管部门的认定证明。当政府采购监督检查、投诉处理及政府采购行政处罚中对中小企业的认定，</w:t>
      </w:r>
      <w:r>
        <w:rPr>
          <w:rFonts w:hint="eastAsia" w:ascii="仿宋" w:hAnsi="仿宋" w:eastAsia="仿宋"/>
          <w:color w:val="auto"/>
          <w:sz w:val="24"/>
          <w:highlight w:val="none"/>
          <w:lang w:val="zh-CN"/>
        </w:rPr>
        <w:t xml:space="preserve">供应商</w:t>
      </w:r>
      <w:r>
        <w:rPr>
          <w:rFonts w:ascii="仿宋" w:hAnsi="仿宋" w:eastAsia="仿宋"/>
          <w:color w:val="auto"/>
          <w:sz w:val="24"/>
          <w:highlight w:val="none"/>
          <w:lang w:val="zh-CN"/>
        </w:rPr>
        <w:t xml:space="preserve">须提供由货物制造商或者工程、服务供应商注册登记所在地的县级以上人民政府中小企业主管部门认定证明，如涉及质疑或投诉时未能提供作无效响应并取消中标资格。</w:t>
      </w:r>
      <w:r/>
    </w:p>
    <w:p>
      <w:pPr>
        <w:pStyle w:val="110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根据“中小企业声明函”或提供的认定证明中所确定的企业性质，如</w:t>
      </w:r>
      <w:r>
        <w:rPr>
          <w:rFonts w:hint="eastAsia" w:ascii="仿宋" w:hAnsi="仿宋" w:eastAsia="仿宋"/>
          <w:color w:val="auto"/>
          <w:sz w:val="24"/>
          <w:highlight w:val="none"/>
          <w:lang w:val="zh-CN"/>
        </w:rPr>
        <w:t xml:space="preserve">供应商</w:t>
      </w:r>
      <w:r>
        <w:rPr>
          <w:rFonts w:ascii="仿宋" w:hAnsi="仿宋" w:eastAsia="仿宋"/>
          <w:color w:val="auto"/>
          <w:sz w:val="24"/>
          <w:highlight w:val="none"/>
          <w:lang w:val="zh-CN"/>
        </w:rPr>
        <w:t xml:space="preserve">属于小微型企业，且提供自有服务的，对其报价给予</w:t>
      </w:r>
      <w:r>
        <w:rPr>
          <w:rFonts w:hint="eastAsia" w:ascii="仿宋" w:hAnsi="仿宋" w:eastAsia="仿宋"/>
          <w:b/>
          <w:color w:val="auto"/>
          <w:sz w:val="24"/>
          <w:highlight w:val="none"/>
        </w:rPr>
        <w:t xml:space="preserve">1</w:t>
      </w:r>
      <w:r>
        <w:rPr>
          <w:rFonts w:ascii="仿宋" w:hAnsi="仿宋" w:eastAsia="仿宋"/>
          <w:b/>
          <w:color w:val="auto"/>
          <w:sz w:val="24"/>
          <w:highlight w:val="none"/>
        </w:rPr>
        <w:t xml:space="preserve">0</w:t>
      </w:r>
      <w:r>
        <w:rPr>
          <w:rFonts w:ascii="仿宋" w:hAnsi="仿宋" w:eastAsia="仿宋"/>
          <w:b/>
          <w:color w:val="auto"/>
          <w:sz w:val="24"/>
          <w:highlight w:val="none"/>
          <w:lang w:val="zh-CN"/>
        </w:rPr>
        <w:t xml:space="preserve">%</w:t>
      </w:r>
      <w:r>
        <w:rPr>
          <w:rFonts w:ascii="仿宋" w:hAnsi="仿宋" w:eastAsia="仿宋"/>
          <w:color w:val="auto"/>
          <w:sz w:val="24"/>
          <w:highlight w:val="none"/>
          <w:lang w:val="zh-CN"/>
        </w:rPr>
        <w:t xml:space="preserve">的扣除，扣除后的价格参与价格评审。</w:t>
      </w:r>
      <w:r/>
    </w:p>
    <w:p>
      <w:pPr>
        <w:pStyle w:val="110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w:t>
      </w:r>
      <w:r/>
    </w:p>
    <w:p>
      <w:pPr>
        <w:pStyle w:val="1108"/>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①填报“中小企业声明函”需严格按“工信部联企业〔2011〕300号通知中的《中小企业划型标准规定》进行。</w:t>
      </w:r>
      <w:r/>
    </w:p>
    <w:p>
      <w:pPr>
        <w:pStyle w:val="110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②若</w:t>
      </w:r>
      <w:r>
        <w:rPr>
          <w:rFonts w:hint="eastAsia" w:ascii="仿宋" w:hAnsi="仿宋" w:eastAsia="仿宋"/>
          <w:color w:val="auto"/>
          <w:sz w:val="24"/>
          <w:highlight w:val="none"/>
          <w:lang w:val="zh-CN"/>
        </w:rPr>
        <w:t xml:space="preserve">供应商</w:t>
      </w:r>
      <w:r>
        <w:rPr>
          <w:rFonts w:ascii="仿宋" w:hAnsi="仿宋" w:eastAsia="仿宋"/>
          <w:color w:val="auto"/>
          <w:sz w:val="24"/>
          <w:highlight w:val="none"/>
          <w:lang w:val="zh-CN"/>
        </w:rPr>
        <w:t xml:space="preserve">提供的“中小企业声明函”或认定证明为虚假声明则视同提供虚假材料，按“政府采购法”相关规定处理并报请政府监管部门给予行政处罚。</w:t>
      </w:r>
      <w:r/>
    </w:p>
    <w:p>
      <w:pPr>
        <w:pStyle w:val="1108"/>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注：若</w:t>
      </w:r>
      <w:r>
        <w:rPr>
          <w:rFonts w:hint="eastAsia" w:ascii="仿宋" w:hAnsi="仿宋" w:eastAsia="仿宋"/>
          <w:color w:val="auto"/>
          <w:sz w:val="24"/>
          <w:highlight w:val="none"/>
          <w:lang w:val="zh-CN"/>
        </w:rPr>
        <w:t xml:space="preserve">供应商</w:t>
      </w:r>
      <w:r>
        <w:rPr>
          <w:rFonts w:ascii="仿宋" w:hAnsi="仿宋" w:eastAsia="仿宋"/>
          <w:color w:val="auto"/>
          <w:sz w:val="24"/>
          <w:highlight w:val="none"/>
          <w:lang w:val="zh-CN"/>
        </w:rPr>
        <w:t xml:space="preserve">提供的“中小企业声明函”或认定证明为虚假声明则视同提供虚假材料，按“政府采购法”相关规定处理并报请政府监管部门给予行政处罚。</w:t>
      </w:r>
      <w:r/>
    </w:p>
    <w:p>
      <w:pPr>
        <w:pStyle w:val="1108"/>
        <w:ind w:firstLine="480"/>
        <w:spacing w:line="300" w:lineRule="auto"/>
        <w:rPr>
          <w:rFonts w:ascii="仿宋" w:hAnsi="仿宋" w:eastAsia="仿宋"/>
          <w:b/>
          <w:color w:val="auto"/>
          <w:sz w:val="24"/>
          <w:highlight w:val="none"/>
          <w:lang w:val="zh-CN"/>
        </w:rPr>
      </w:pPr>
      <w:r>
        <w:rPr>
          <w:rFonts w:ascii="仿宋" w:hAnsi="仿宋" w:eastAsia="仿宋"/>
          <w:color w:val="auto"/>
          <w:sz w:val="24"/>
          <w:highlight w:val="none"/>
          <w:lang w:val="zh-CN"/>
        </w:rPr>
        <w:t xml:space="preserve">《政府采购促进中小企业发展管理办法》的通知（财库〔2020〕46号）第4条规定，</w:t>
      </w:r>
      <w:r>
        <w:rPr>
          <w:rFonts w:ascii="仿宋" w:hAnsi="仿宋" w:eastAsia="仿宋"/>
          <w:b/>
          <w:color w:val="auto"/>
          <w:sz w:val="24"/>
          <w:highlight w:val="none"/>
          <w:lang w:val="zh-CN"/>
        </w:rPr>
        <w:t xml:space="preserve">在货物采购项目中，货物由中小企业制造，即货物由中小企业生产且使用该中小企业商号或者注册商标；在货物采购项目中，供应商提供的货物既有中小企业制造货物，也有大型企业制造货物的，不享受本办法规定的中小企业扶持政策。</w:t>
      </w:r>
      <w:r/>
    </w:p>
    <w:p>
      <w:pPr>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w:t>
      </w:r>
      <w:r>
        <w:rPr>
          <w:rFonts w:ascii="仿宋" w:hAnsi="仿宋" w:eastAsia="仿宋"/>
          <w:color w:val="auto"/>
          <w:sz w:val="24"/>
          <w:highlight w:val="none"/>
          <w:lang w:val="zh-CN"/>
        </w:rPr>
        <w:t xml:space="preserve">.4.2如</w:t>
      </w:r>
      <w:r>
        <w:rPr>
          <w:rFonts w:hint="eastAsia" w:ascii="仿宋" w:hAnsi="仿宋" w:eastAsia="仿宋"/>
          <w:color w:val="auto"/>
          <w:sz w:val="24"/>
          <w:highlight w:val="none"/>
          <w:lang w:val="zh-CN"/>
        </w:rPr>
        <w:t xml:space="preserve">供应商</w:t>
      </w:r>
      <w:r>
        <w:rPr>
          <w:rFonts w:ascii="仿宋" w:hAnsi="仿宋" w:eastAsia="仿宋"/>
          <w:color w:val="auto"/>
          <w:sz w:val="24"/>
          <w:highlight w:val="none"/>
          <w:lang w:val="zh-CN"/>
        </w:rPr>
        <w:t xml:space="preserve">属于监狱和戒毒企业（监狱企业）、残疾人企业，且提供自有服务的，对其报价给予</w:t>
      </w:r>
      <w:r>
        <w:rPr>
          <w:rFonts w:ascii="仿宋" w:hAnsi="仿宋" w:eastAsia="仿宋"/>
          <w:b/>
          <w:color w:val="auto"/>
          <w:sz w:val="24"/>
          <w:highlight w:val="none"/>
          <w:lang w:val="zh-CN"/>
        </w:rPr>
        <w:t xml:space="preserve">10%</w:t>
      </w:r>
      <w:r>
        <w:rPr>
          <w:rFonts w:ascii="仿宋" w:hAnsi="仿宋" w:eastAsia="仿宋"/>
          <w:color w:val="auto"/>
          <w:sz w:val="24"/>
          <w:highlight w:val="none"/>
          <w:lang w:val="zh-CN"/>
        </w:rPr>
        <w:t xml:space="preserve">的扣除；扣除后的价格参与价格评审。</w:t>
      </w:r>
      <w:r/>
    </w:p>
    <w:p>
      <w:pPr>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hint="eastAsia" w:ascii="仿宋" w:hAnsi="仿宋" w:eastAsia="仿宋"/>
          <w:color w:val="auto"/>
          <w:sz w:val="24"/>
          <w:highlight w:val="none"/>
        </w:rPr>
        <w:t xml:space="preserve">0.5根据《政府采购货物和服务招标投标管理办法》（财政部令第87号）、《关于推动解决政府采购异常低价问题相关工作的问题》（苏财购〔2025〕62号）规定，评审过程中出现下列情形之一的，评审委员会应当启动异常低价投标（响应）审查程序：（一）投标（响应）报价低于采购项目预算 50% 的，即投标（响应）报价＜采购项目预算×50% ；（二）投标（响应）报价低于采购项目最高限价45%的，即投标（响应）报价＜采购项目最高限价×45% ；（三）评审委员会认定的供应商报价过低、有可能影响产品质量或者不能诚信履约的其他情形。</w:t>
      </w:r>
      <w:r/>
    </w:p>
    <w:p>
      <w:pPr>
        <w:pStyle w:val="1108"/>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50.5.1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50.5.2对报价异常低且经评审委员会启动相关审查机制后仍中标的供应商，采购人要重点关注其履约能力、履约承诺、实施履约情况等。</w:t>
      </w:r>
      <w:r/>
    </w:p>
    <w:p>
      <w:pPr>
        <w:pStyle w:val="1108"/>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50.6</w:t>
      </w:r>
      <w:r>
        <w:rPr>
          <w:rFonts w:hint="eastAsia" w:ascii="仿宋" w:hAnsi="仿宋" w:eastAsia="仿宋"/>
          <w:color w:val="auto"/>
          <w:sz w:val="24"/>
          <w:highlight w:val="none"/>
          <w:lang w:val="zh-CN"/>
        </w:rPr>
        <w:t xml:space="preserve">本项目采用综合评分法，总分100分，以得分最高的供应商作为本项目的中标候选人。</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51</w:t>
      </w:r>
      <w:r>
        <w:rPr>
          <w:rFonts w:hint="eastAsia" w:ascii="仿宋" w:hAnsi="仿宋" w:eastAsia="仿宋" w:cs="仿宋"/>
          <w:b/>
          <w:bCs/>
          <w:color w:val="auto"/>
          <w:sz w:val="28"/>
          <w:szCs w:val="28"/>
          <w:highlight w:val="none"/>
          <w:lang w:val="zh-CN"/>
        </w:rPr>
        <w:t xml:space="preserve">.评分标准分项明细表</w:t>
      </w:r>
      <w:r/>
    </w:p>
    <w:p>
      <w:pPr>
        <w:ind w:left="447" w:hanging="88"/>
        <w:jc w:val="left"/>
        <w:spacing w:line="300" w:lineRule="auto"/>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51</w:t>
      </w:r>
      <w:r>
        <w:rPr>
          <w:rFonts w:hint="eastAsia" w:ascii="仿宋" w:hAnsi="仿宋" w:eastAsia="仿宋" w:cs="仿宋"/>
          <w:color w:val="auto"/>
          <w:sz w:val="24"/>
          <w:highlight w:val="none"/>
          <w:lang w:val="zh-CN"/>
        </w:rPr>
        <w:t xml:space="preserve">.1评分因素以及分值</w:t>
      </w:r>
      <w:r/>
    </w:p>
    <w:tbl>
      <w:tblPr>
        <w:tblStyle w:val="903"/>
        <w:tblW w:w="9165" w:type="dxa"/>
        <w:jc w:val="center"/>
        <w:tblLayout w:type="fixed"/>
        <w:tblCellMar>
          <w:left w:w="108" w:type="dxa"/>
          <w:top w:w="0" w:type="dxa"/>
          <w:right w:w="108" w:type="dxa"/>
          <w:bottom w:w="0" w:type="dxa"/>
        </w:tblCellMar>
        <w:tblLook w:val="04A0" w:firstRow="1" w:lastRow="0" w:firstColumn="1" w:lastColumn="0" w:noHBand="0" w:noVBand="1"/>
      </w:tblPr>
      <w:tblGrid>
        <w:gridCol w:w="1456"/>
        <w:gridCol w:w="709"/>
        <w:gridCol w:w="7000"/>
      </w:tblGrid>
      <w:tr>
        <w:trPr>
          <w:jc w:val="center"/>
          <w:trHeight w:val="441"/>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评审项目</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分数</w:t>
            </w:r>
            <w:r/>
          </w:p>
        </w:tc>
        <w:tc>
          <w:tcPr>
            <w:tcBorders>
              <w:top w:val="single" w:color="000000" w:sz="6" w:space="0"/>
              <w:left w:val="single" w:color="000000" w:sz="6" w:space="0"/>
              <w:bottom w:val="single" w:color="000000" w:sz="6" w:space="0"/>
              <w:right w:val="single" w:color="000000" w:sz="6" w:space="0"/>
            </w:tcBorders>
            <w:tcW w:w="7000"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评分标准</w:t>
            </w:r>
            <w:r/>
          </w:p>
        </w:tc>
      </w:tr>
      <w:tr>
        <w:trPr>
          <w:jc w:val="center"/>
        </w:trPr>
        <w:tc>
          <w:tcPr>
            <w:tcBorders>
              <w:top w:val="single" w:color="000000" w:sz="6" w:space="0"/>
              <w:left w:val="single" w:color="000000" w:sz="6" w:space="0"/>
              <w:bottom w:val="single" w:color="000000" w:sz="6" w:space="0"/>
              <w:right w:val="single" w:color="000000" w:sz="6" w:space="0"/>
            </w:tcBorders>
            <w:tcW w:w="1456" w:type="dxa"/>
            <w:vAlign w:val="center"/>
            <w:textDirection w:val="lrTb"/>
            <w:noWrap/>
          </w:tcPr>
          <w:p>
            <w:pPr>
              <w:ind w:left="1049" w:right="-130" w:hanging="1225"/>
              <w:jc w:val="center"/>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w:t>
            </w:r>
            <w:r/>
          </w:p>
        </w:tc>
        <w:tc>
          <w:tcPr>
            <w:tcBorders>
              <w:top w:val="single" w:color="000000" w:sz="6" w:space="0"/>
              <w:left w:val="single" w:color="000000" w:sz="6" w:space="0"/>
              <w:bottom w:val="single" w:color="000000" w:sz="6" w:space="0"/>
              <w:right w:val="single" w:color="000000" w:sz="6" w:space="0"/>
            </w:tcBorders>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7000"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满足磋商文件要求且磋商价格（或者最后磋商报价）最低的磋商报价为磋商基准价，其价格分为满分。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 xml:space="preserve">其它磋商报价得分＝磋商基准价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（磋商报价或者最后磋商报价）×</w:t>
            </w:r>
            <w:r>
              <w:rPr>
                <w:rFonts w:hint="eastAsia" w:ascii="仿宋" w:hAnsi="仿宋" w:eastAsia="仿宋" w:cs="仿宋"/>
                <w:color w:val="auto"/>
                <w:sz w:val="24"/>
                <w:highlight w:val="none"/>
                <w:u w:val="single"/>
              </w:rPr>
              <w:t xml:space="preserve">20</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超出采购预算价的磋商报价为无效报价。磋商小组认为响应人的报价明显低于其他通过符合性审查响应人的磋商报价，有可能影响产品质量或者不能诚信履约的，应当要求其在评标现场合理的时间内提供书面说明，必要时提交相关证明材料；响应人不能证明其报价合理性的，磋商小组应当将其作为无效响应处理。报价分精确到小数点后两位。报价得分保留两位小数，第三位四舍五入。</w:t>
            </w:r>
            <w:r/>
          </w:p>
        </w:tc>
      </w:tr>
      <w:tr>
        <w:trPr>
          <w:jc w:val="center"/>
          <w:trHeight w:val="90"/>
        </w:trPr>
        <w:tc>
          <w:tcPr>
            <w:tcW w:w="1456"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color w:val="auto"/>
                <w:sz w:val="24"/>
                <w:highlight w:val="none"/>
              </w:rPr>
              <w:t xml:space="preserve">类似</w:t>
            </w:r>
            <w:r>
              <w:rPr>
                <w:rFonts w:hint="eastAsia" w:ascii="仿宋" w:hAnsi="仿宋" w:eastAsia="仿宋" w:cs="仿宋"/>
                <w:color w:val="auto"/>
                <w:sz w:val="24"/>
                <w:highlight w:val="none"/>
                <w:lang w:val="zh-CN"/>
              </w:rPr>
              <w:t xml:space="preserve">业绩</w:t>
            </w:r>
            <w:r/>
          </w:p>
        </w:tc>
        <w:tc>
          <w:tcPr>
            <w:tcW w:w="709" w:type="dxa"/>
            <w:vAlign w:val="center"/>
            <w:textDirection w:val="lrTb"/>
            <w:noWrap/>
          </w:tcPr>
          <w:p>
            <w:pPr>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10</w:t>
            </w:r>
            <w:r/>
          </w:p>
        </w:tc>
        <w:tc>
          <w:tcPr>
            <w:tcW w:w="7000" w:type="dxa"/>
            <w:vAlign w:val="center"/>
            <w:textDirection w:val="lrTb"/>
            <w:noWrap/>
          </w:tcPr>
          <w:p>
            <w:pPr>
              <w:rPr>
                <w:rFonts w:ascii="仿宋" w:hAnsi="仿宋" w:eastAsia="仿宋" w:cs="仿宋"/>
                <w:b/>
                <w:bCs/>
                <w:color w:val="auto"/>
                <w:sz w:val="24"/>
                <w:highlight w:val="none"/>
                <w:lang w:val="zh-CN"/>
              </w:rPr>
            </w:pPr>
            <w:r>
              <w:rPr>
                <w:rFonts w:hint="eastAsia" w:ascii="仿宋" w:hAnsi="仿宋" w:eastAsia="仿宋" w:cs="仿宋"/>
                <w:color w:val="auto"/>
                <w:sz w:val="24"/>
                <w:highlight w:val="none"/>
              </w:rPr>
              <w:t xml:space="preserve">响应人</w:t>
            </w:r>
            <w:r>
              <w:rPr>
                <w:rFonts w:hint="eastAsia" w:ascii="仿宋" w:hAnsi="仿宋" w:eastAsia="仿宋" w:cs="仿宋"/>
                <w:color w:val="auto"/>
                <w:sz w:val="24"/>
                <w:highlight w:val="none"/>
                <w:lang w:val="zh-CN"/>
              </w:rPr>
              <w:t xml:space="preserve">自</w:t>
            </w:r>
            <w:r>
              <w:rPr>
                <w:rFonts w:hint="eastAsia" w:ascii="仿宋" w:hAnsi="仿宋" w:eastAsia="仿宋" w:cs="仿宋"/>
                <w:color w:val="auto"/>
                <w:sz w:val="24"/>
                <w:highlight w:val="none"/>
                <w:lang w:val="zh-CN"/>
              </w:rPr>
              <w:t xml:space="preserve">202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val="zh-CN"/>
              </w:rPr>
              <w:t xml:space="preserve">年1月1日</w:t>
            </w:r>
            <w:r>
              <w:rPr>
                <w:rFonts w:hint="eastAsia" w:ascii="仿宋" w:hAnsi="仿宋" w:eastAsia="仿宋" w:cs="仿宋"/>
                <w:color w:val="auto"/>
                <w:sz w:val="24"/>
                <w:highlight w:val="none"/>
                <w:lang w:val="zh-CN"/>
              </w:rPr>
              <w:t xml:space="preserve">至投标截止日（以合同签订时间为准）承担过类似</w:t>
            </w:r>
            <w:r>
              <w:rPr>
                <w:rFonts w:hint="eastAsia" w:ascii="仿宋" w:hAnsi="仿宋" w:eastAsia="仿宋" w:cs="仿宋"/>
                <w:color w:val="auto"/>
                <w:sz w:val="24"/>
                <w:highlight w:val="none"/>
              </w:rPr>
              <w:t xml:space="preserve">自然资源调查项目的</w:t>
            </w:r>
            <w:r>
              <w:rPr>
                <w:rFonts w:hint="eastAsia" w:ascii="仿宋" w:hAnsi="仿宋" w:eastAsia="仿宋" w:cs="仿宋"/>
                <w:color w:val="auto"/>
                <w:sz w:val="24"/>
                <w:highlight w:val="none"/>
                <w:lang w:val="zh-CN"/>
              </w:rPr>
              <w:t xml:space="preserve">，每有一个得</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分，本项最高得</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zh-CN"/>
              </w:rPr>
              <w:t xml:space="preserve">分。</w:t>
            </w:r>
            <w:r>
              <w:rPr>
                <w:rFonts w:hint="eastAsia" w:ascii="仿宋" w:hAnsi="仿宋" w:eastAsia="仿宋" w:cs="仿宋"/>
                <w:b/>
                <w:bCs/>
                <w:color w:val="auto"/>
                <w:sz w:val="24"/>
                <w:highlight w:val="none"/>
                <w:lang w:val="zh-CN"/>
              </w:rPr>
              <w:t xml:space="preserve">须提供</w:t>
            </w:r>
            <w:r>
              <w:rPr>
                <w:rFonts w:hint="eastAsia" w:ascii="仿宋" w:hAnsi="仿宋" w:eastAsia="仿宋" w:cs="仿宋"/>
                <w:b/>
                <w:bCs/>
                <w:color w:val="auto"/>
                <w:sz w:val="24"/>
                <w:highlight w:val="none"/>
              </w:rPr>
              <w:t xml:space="preserve">相关证明材料扫描件</w:t>
            </w:r>
            <w:r>
              <w:rPr>
                <w:rFonts w:hint="eastAsia" w:ascii="仿宋" w:hAnsi="仿宋" w:eastAsia="仿宋" w:cs="仿宋"/>
                <w:b/>
                <w:bCs/>
                <w:color w:val="auto"/>
                <w:sz w:val="24"/>
                <w:highlight w:val="none"/>
                <w:lang w:val="zh-CN"/>
              </w:rPr>
              <w:t xml:space="preserve">，没有</w:t>
            </w:r>
            <w:r>
              <w:rPr>
                <w:rFonts w:hint="eastAsia" w:ascii="仿宋" w:hAnsi="仿宋" w:eastAsia="仿宋" w:cs="仿宋"/>
                <w:b/>
                <w:bCs/>
                <w:color w:val="auto"/>
                <w:sz w:val="24"/>
                <w:highlight w:val="none"/>
              </w:rPr>
              <w:t xml:space="preserve">或未提供的</w:t>
            </w:r>
            <w:r>
              <w:rPr>
                <w:rFonts w:hint="eastAsia" w:ascii="仿宋" w:hAnsi="仿宋" w:eastAsia="仿宋" w:cs="仿宋"/>
                <w:b/>
                <w:bCs/>
                <w:color w:val="auto"/>
                <w:sz w:val="24"/>
                <w:highlight w:val="none"/>
                <w:lang w:val="zh-CN"/>
              </w:rPr>
              <w:t xml:space="preserve">不得分。</w:t>
            </w:r>
            <w:r/>
          </w:p>
        </w:tc>
      </w:tr>
      <w:tr>
        <w:trPr>
          <w:jc w:val="center"/>
          <w:trHeight w:val="57"/>
        </w:trPr>
        <w:tc>
          <w:tcPr>
            <w:tcW w:w="1456"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color w:val="auto"/>
                <w:sz w:val="24"/>
                <w:highlight w:val="none"/>
              </w:rPr>
              <w:t xml:space="preserve">体系认证</w:t>
            </w:r>
            <w:r/>
          </w:p>
        </w:tc>
        <w:tc>
          <w:tcPr>
            <w:tcW w:w="709" w:type="dxa"/>
            <w:vAlign w:val="center"/>
            <w:textDirection w:val="lrTb"/>
            <w:noWrap/>
          </w:tcPr>
          <w:p>
            <w:pPr>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2</w:t>
            </w:r>
            <w:r/>
          </w:p>
        </w:tc>
        <w:tc>
          <w:tcPr>
            <w:tcW w:w="7000" w:type="dxa"/>
            <w:vAlign w:val="center"/>
            <w:textDirection w:val="lrTb"/>
            <w:noWrap/>
          </w:tcPr>
          <w:p>
            <w:pPr>
              <w:pStyle w:val="1108"/>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响应人具有有效期内ISO9001质量管理体系认证的</w:t>
            </w:r>
            <w:r>
              <w:rPr>
                <w:rFonts w:hint="eastAsia" w:ascii="仿宋" w:hAnsi="仿宋" w:eastAsia="仿宋" w:cs="仿宋"/>
                <w:color w:val="auto"/>
                <w:sz w:val="24"/>
                <w:highlight w:val="none"/>
                <w:lang w:val="zh-CN"/>
              </w:rPr>
              <w:t xml:space="preserve">得</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分，</w:t>
            </w:r>
            <w:r>
              <w:rPr>
                <w:rFonts w:hint="eastAsia" w:ascii="仿宋" w:hAnsi="仿宋" w:eastAsia="仿宋" w:cs="仿宋"/>
                <w:color w:val="auto"/>
                <w:sz w:val="24"/>
                <w:highlight w:val="none"/>
              </w:rPr>
              <w:t xml:space="preserve">GB/T国家标准与ISO国际标准同等适用。</w:t>
            </w:r>
            <w:r>
              <w:rPr>
                <w:rFonts w:hint="eastAsia" w:ascii="仿宋" w:hAnsi="仿宋" w:eastAsia="仿宋" w:cs="仿宋"/>
                <w:b/>
                <w:bCs/>
                <w:color w:val="auto"/>
                <w:sz w:val="24"/>
                <w:highlight w:val="none"/>
              </w:rPr>
              <w:t xml:space="preserve">须提供相关证明材料扫描件。</w:t>
            </w:r>
            <w:r/>
          </w:p>
        </w:tc>
      </w:tr>
      <w:tr>
        <w:trPr>
          <w:jc w:val="center"/>
          <w:trHeight w:val="57"/>
        </w:trPr>
        <w:tc>
          <w:tcPr>
            <w:tcW w:w="145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响应人实力</w:t>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7000" w:type="dxa"/>
            <w:vAlign w:val="center"/>
            <w:textDirection w:val="lrTb"/>
            <w:noWrap/>
          </w:tcPr>
          <w:p>
            <w:pPr>
              <w:pStyle w:val="1108"/>
              <w:rPr>
                <w:rFonts w:ascii="仿宋" w:hAnsi="仿宋" w:eastAsia="仿宋" w:cs="仿宋"/>
                <w:color w:val="auto"/>
                <w:sz w:val="24"/>
                <w:highlight w:val="none"/>
              </w:rPr>
            </w:pPr>
            <w:r>
              <w:rPr>
                <w:rFonts w:hint="eastAsia" w:ascii="仿宋" w:hAnsi="仿宋" w:eastAsia="仿宋" w:cs="仿宋"/>
                <w:color w:val="auto"/>
                <w:sz w:val="24"/>
                <w:highlight w:val="none"/>
              </w:rPr>
              <w:t xml:space="preserve">1、响应人获得过相关行政主管部门颁发的荣誉证书的得2分。2、响应人自2020年1月（以证书标注日期为准）承担的测绘地理信息类项目获得相关奖项的得2分；</w:t>
            </w:r>
            <w:r/>
          </w:p>
          <w:p>
            <w:pPr>
              <w:pStyle w:val="1108"/>
              <w:rPr>
                <w:rFonts w:ascii="仿宋" w:hAnsi="仿宋" w:eastAsia="仿宋" w:cs="仿宋"/>
                <w:color w:val="auto"/>
                <w:sz w:val="24"/>
                <w:highlight w:val="none"/>
              </w:rPr>
            </w:pPr>
            <w:r>
              <w:rPr>
                <w:rFonts w:hint="eastAsia" w:ascii="仿宋" w:hAnsi="仿宋" w:eastAsia="仿宋" w:cs="仿宋"/>
                <w:color w:val="auto"/>
                <w:sz w:val="24"/>
                <w:highlight w:val="none"/>
              </w:rPr>
              <w:t xml:space="preserve">3、响应人自2020年1月（以证书标注日期为准）承担的自然资源调查业绩获得过优秀工程奖的得2分。</w:t>
            </w:r>
            <w:r/>
          </w:p>
          <w:p>
            <w:pPr>
              <w:pStyle w:val="1108"/>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须提供相关证明材料扫描件。</w:t>
            </w:r>
            <w:r/>
          </w:p>
        </w:tc>
      </w:tr>
      <w:tr>
        <w:trPr>
          <w:jc w:val="center"/>
          <w:trHeight w:val="57"/>
        </w:trPr>
        <w:tc>
          <w:tcPr>
            <w:tcW w:w="145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技术支撑</w:t>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7000" w:type="dxa"/>
            <w:vAlign w:val="center"/>
            <w:textDirection w:val="lrTb"/>
            <w:noWrap/>
          </w:tcPr>
          <w:p>
            <w:pPr>
              <w:pStyle w:val="1108"/>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响应人具有自然资源类计算机软件著作权登记证书的，每有1个得1分，本项最多得4分。</w:t>
            </w:r>
            <w:r>
              <w:rPr>
                <w:rFonts w:hint="eastAsia" w:ascii="仿宋" w:hAnsi="仿宋" w:eastAsia="仿宋" w:cs="仿宋"/>
                <w:b/>
                <w:bCs/>
                <w:color w:val="auto"/>
                <w:sz w:val="24"/>
                <w:highlight w:val="none"/>
              </w:rPr>
              <w:t xml:space="preserve">须提供证书扫描件并加盖公章。</w:t>
            </w:r>
            <w:r/>
          </w:p>
        </w:tc>
      </w:tr>
      <w:tr>
        <w:trPr>
          <w:jc w:val="center"/>
          <w:trHeight w:val="416"/>
        </w:trPr>
        <w:tc>
          <w:tcPr>
            <w:tcW w:w="1456" w:type="dxa"/>
            <w:vAlign w:val="center"/>
            <w:textDirection w:val="lrTb"/>
            <w:noWrap/>
          </w:tcPr>
          <w:p>
            <w:pPr>
              <w:jc w:val="center"/>
              <w:rPr>
                <w:rFonts w:ascii="仿宋" w:hAnsi="仿宋" w:eastAsia="仿宋" w:cs="仿宋"/>
                <w:color w:val="auto"/>
                <w:sz w:val="24"/>
                <w:highlight w:val="none"/>
              </w:rPr>
            </w:pPr>
            <w:r>
              <w:rPr>
                <w:rFonts w:hint="eastAsia" w:eastAsia="仿宋"/>
                <w:color w:val="auto"/>
                <w:sz w:val="24"/>
                <w:highlight w:val="none"/>
              </w:rPr>
              <w:t xml:space="preserve">人员参数响应</w:t>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W w:w="7000" w:type="dxa"/>
            <w:vAlign w:val="center"/>
            <w:textDirection w:val="lrTb"/>
            <w:noWrap/>
          </w:tcPr>
          <w:p>
            <w:pPr>
              <w:rPr>
                <w:rFonts w:ascii="仿宋" w:hAnsi="仿宋" w:eastAsia="仿宋" w:cs="仿宋"/>
                <w:color w:val="auto"/>
                <w:sz w:val="24"/>
                <w:highlight w:val="none"/>
              </w:rPr>
            </w:pPr>
            <w:r/>
            <w:bookmarkStart w:id="124" w:name="_GoBack"/>
            <w:r>
              <w:rPr>
                <w:rFonts w:hint="eastAsia" w:ascii="仿宋" w:hAnsi="仿宋" w:eastAsia="仿宋" w:cs="仿宋"/>
                <w:color w:val="auto"/>
                <w:sz w:val="24"/>
                <w:highlight w:val="none"/>
              </w:rPr>
              <w:t xml:space="preserve">第十一章项目需求以及技术要求（第</w:t>
            </w:r>
            <w:r>
              <w:rPr>
                <w:rFonts w:hint="eastAsia" w:ascii="仿宋" w:hAnsi="仿宋" w:eastAsia="仿宋" w:cs="仿宋"/>
                <w:bCs/>
                <w:color w:val="auto"/>
                <w:sz w:val="24"/>
                <w:highlight w:val="none"/>
              </w:rPr>
              <w:t xml:space="preserve">49.8</w:t>
            </w:r>
            <w:r>
              <w:rPr>
                <w:rFonts w:hint="eastAsia" w:ascii="仿宋" w:hAnsi="仿宋" w:eastAsia="仿宋" w:cs="仿宋"/>
                <w:color w:val="auto"/>
                <w:sz w:val="24"/>
                <w:highlight w:val="none"/>
                <w:lang w:val="zh-CN"/>
              </w:rPr>
              <w:t xml:space="preserve">条规定</w:t>
            </w:r>
            <w:r>
              <w:rPr>
                <w:rFonts w:hint="eastAsia" w:ascii="仿宋" w:hAnsi="仿宋" w:eastAsia="仿宋" w:cs="仿宋"/>
                <w:color w:val="auto"/>
                <w:sz w:val="24"/>
                <w:highlight w:val="none"/>
              </w:rPr>
              <w:t xml:space="preserve">）的技术参数全部满足招标要求的得满分16分，每负偏离一项扣4分。</w:t>
            </w:r>
            <w:r>
              <w:rPr>
                <w:rFonts w:hint="eastAsia" w:ascii="仿宋" w:hAnsi="仿宋" w:eastAsia="仿宋" w:cs="仿宋"/>
                <w:b/>
                <w:color w:val="auto"/>
                <w:sz w:val="24"/>
                <w:highlight w:val="none"/>
              </w:rPr>
              <w:t xml:space="preserve">投标供应商在</w:t>
            </w:r>
            <w:r>
              <w:rPr>
                <w:rFonts w:hint="eastAsia" w:ascii="仿宋" w:hAnsi="仿宋" w:eastAsia="仿宋" w:cs="仿宋"/>
                <w:b/>
                <w:bCs/>
                <w:color w:val="auto"/>
                <w:sz w:val="24"/>
                <w:highlight w:val="none"/>
              </w:rPr>
              <w:t xml:space="preserve">投标文件中按招标文件提供相关证明材料，如未提供则视为未响应</w:t>
            </w:r>
            <w:r>
              <w:rPr>
                <w:rFonts w:hint="eastAsia" w:ascii="仿宋" w:hAnsi="仿宋" w:eastAsia="仿宋" w:cs="仿宋"/>
                <w:b/>
                <w:color w:val="auto"/>
                <w:sz w:val="24"/>
                <w:highlight w:val="none"/>
              </w:rPr>
              <w:t xml:space="preserve">。</w:t>
            </w:r>
            <w:bookmarkEnd w:id="124"/>
            <w:r/>
            <w:r/>
          </w:p>
        </w:tc>
      </w:tr>
      <w:tr>
        <w:trPr>
          <w:jc w:val="center"/>
          <w:trHeight w:val="56"/>
        </w:trPr>
        <w:tc>
          <w:tcPr>
            <w:tcW w:w="145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服务方案</w:t>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W w:w="7000" w:type="dxa"/>
            <w:vAlign w:val="center"/>
            <w:textDirection w:val="lrTb"/>
            <w:noWrap/>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响应人提供服务方案包括①项目背景分析，②项目需求理解，③</w:t>
            </w:r>
            <w:r>
              <w:rPr>
                <w:rFonts w:hint="eastAsia" w:ascii="仿宋" w:hAnsi="仿宋" w:eastAsia="仿宋" w:cs="仿宋"/>
                <w:color w:val="auto"/>
                <w:sz w:val="24"/>
                <w:highlight w:val="none"/>
              </w:rPr>
              <w:t xml:space="preserve">工作思路及方案</w:t>
            </w:r>
            <w:r>
              <w:rPr>
                <w:rFonts w:hint="eastAsia" w:ascii="仿宋" w:hAnsi="仿宋" w:eastAsia="仿宋" w:cs="仿宋"/>
                <w:color w:val="auto"/>
                <w:sz w:val="24"/>
                <w:highlight w:val="none"/>
              </w:rPr>
              <w:t xml:space="preserve">，④响应人对本项目工作优势</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⑤资料搜集整理，⑥重难点分析及合理化建议，⑦技术方法及对策，⑧技术路线图、对各项工作的逻辑关系及技术路线、作业流程的描述方案等8个分项，</w:t>
            </w:r>
            <w:r>
              <w:rPr>
                <w:rFonts w:hint="eastAsia" w:ascii="仿宋" w:hAnsi="仿宋" w:eastAsia="仿宋" w:cs="仿宋"/>
                <w:color w:val="auto"/>
                <w:sz w:val="24"/>
                <w:highlight w:val="none"/>
              </w:rPr>
              <w:t xml:space="preserve">内容科</w:t>
            </w:r>
            <w:r>
              <w:rPr>
                <w:rFonts w:hint="eastAsia" w:ascii="仿宋" w:hAnsi="仿宋" w:eastAsia="仿宋" w:cs="仿宋"/>
                <w:color w:val="auto"/>
                <w:sz w:val="24"/>
                <w:highlight w:val="none"/>
              </w:rPr>
              <w:t xml:space="preserve">学合理、技术方法可行</w:t>
            </w:r>
            <w:r>
              <w:rPr>
                <w:rFonts w:hint="eastAsia" w:ascii="仿宋" w:hAnsi="仿宋" w:eastAsia="仿宋" w:cs="仿宋"/>
                <w:color w:val="auto"/>
                <w:sz w:val="24"/>
                <w:szCs w:val="22"/>
                <w:highlight w:val="none"/>
                <w:lang w:val="zh-CN"/>
              </w:rPr>
              <w:t xml:space="preserve">，每分项排序分值范围：3、2、1、0</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总分为8个分项汇总</w:t>
            </w:r>
            <w:r/>
          </w:p>
        </w:tc>
      </w:tr>
      <w:tr>
        <w:trPr>
          <w:jc w:val="center"/>
          <w:trHeight w:val="727"/>
        </w:trPr>
        <w:tc>
          <w:tcPr>
            <w:tcW w:w="145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实施保障</w:t>
            </w:r>
            <w:r/>
          </w:p>
        </w:tc>
        <w:tc>
          <w:tcPr>
            <w:tcW w:w="70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18</w:t>
            </w:r>
            <w:r/>
          </w:p>
        </w:tc>
        <w:tc>
          <w:tcPr>
            <w:tcW w:w="7000" w:type="dxa"/>
            <w:vAlign w:val="center"/>
            <w:textDirection w:val="lrTb"/>
            <w:noWrap/>
          </w:tcPr>
          <w:p>
            <w:pPr>
              <w:ind w:right="-61"/>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响应人</w:t>
            </w:r>
            <w:r>
              <w:rPr>
                <w:rFonts w:ascii="仿宋" w:hAnsi="仿宋" w:eastAsia="仿宋"/>
                <w:color w:val="auto"/>
                <w:sz w:val="24"/>
                <w:highlight w:val="none"/>
              </w:rPr>
              <w:t xml:space="preserve">针对本项目采购需求</w:t>
            </w:r>
            <w:r>
              <w:rPr>
                <w:rFonts w:hint="eastAsia" w:ascii="仿宋" w:hAnsi="仿宋" w:eastAsia="仿宋"/>
                <w:color w:val="auto"/>
                <w:sz w:val="24"/>
                <w:highlight w:val="none"/>
              </w:rPr>
              <w:t xml:space="preserve">制定</w:t>
            </w:r>
            <w:r>
              <w:rPr>
                <w:rFonts w:ascii="仿宋" w:hAnsi="仿宋" w:eastAsia="仿宋"/>
                <w:color w:val="auto"/>
                <w:sz w:val="24"/>
                <w:highlight w:val="none"/>
              </w:rPr>
              <w:t xml:space="preserve">实施保障方案</w:t>
            </w:r>
            <w:r>
              <w:rPr>
                <w:rFonts w:hint="eastAsia" w:ascii="仿宋" w:hAnsi="仿宋" w:eastAsia="仿宋"/>
                <w:color w:val="auto"/>
                <w:sz w:val="24"/>
                <w:highlight w:val="none"/>
              </w:rPr>
              <w:t xml:space="preserve">包括</w:t>
            </w:r>
            <w:r>
              <w:rPr>
                <w:rFonts w:hint="eastAsia" w:ascii="仿宋" w:hAnsi="仿宋" w:eastAsia="仿宋" w:cs="仿宋"/>
                <w:color w:val="auto"/>
                <w:sz w:val="24"/>
                <w:highlight w:val="none"/>
              </w:rPr>
              <w:t xml:space="preserve">①质量保证措施，②进度计划与控制，③技术保障措施，④内部管理制度及数据保密措施，⑤安全责任及保障措施，⑥后续服务承诺等6个分项，</w:t>
            </w:r>
            <w:r>
              <w:rPr>
                <w:rFonts w:hint="eastAsia" w:ascii="仿宋" w:hAnsi="仿宋" w:eastAsia="仿宋" w:cs="仿宋"/>
                <w:color w:val="auto"/>
                <w:sz w:val="24"/>
                <w:highlight w:val="none"/>
              </w:rPr>
              <w:t xml:space="preserve">内容科</w:t>
            </w:r>
            <w:r>
              <w:rPr>
                <w:rFonts w:hint="eastAsia" w:ascii="仿宋" w:hAnsi="仿宋" w:eastAsia="仿宋" w:cs="仿宋"/>
                <w:color w:val="auto"/>
                <w:sz w:val="24"/>
                <w:highlight w:val="none"/>
              </w:rPr>
              <w:t xml:space="preserve">学合理、技术方法可行</w:t>
            </w:r>
            <w:r>
              <w:rPr>
                <w:rFonts w:hint="eastAsia" w:ascii="仿宋" w:hAnsi="仿宋" w:eastAsia="仿宋" w:cs="仿宋"/>
                <w:color w:val="auto"/>
                <w:sz w:val="24"/>
                <w:szCs w:val="22"/>
                <w:highlight w:val="none"/>
                <w:lang w:val="zh-CN"/>
              </w:rPr>
              <w:t xml:space="preserve">，每分项排序分值范围：3、2、1、0</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总分为6个分项汇总</w:t>
            </w:r>
            <w:r/>
          </w:p>
        </w:tc>
      </w:tr>
    </w:tbl>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1．</w:t>
      </w:r>
      <w:r>
        <w:rPr>
          <w:rFonts w:hint="eastAsia" w:ascii="仿宋" w:hAnsi="仿宋" w:eastAsia="仿宋" w:cs="仿宋"/>
          <w:b/>
          <w:bCs/>
          <w:color w:val="auto"/>
          <w:sz w:val="24"/>
          <w:highlight w:val="none"/>
        </w:rPr>
        <w:t xml:space="preserve">付款方式、交货时间不响应磋商要求的不得中标；</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 响应人提交的涉及评分表内评分点要求的文件或证明的扫描件应是最新（有效）、清晰，</w:t>
      </w:r>
      <w:r>
        <w:rPr>
          <w:rFonts w:hint="eastAsia" w:ascii="仿宋" w:hAnsi="仿宋" w:eastAsia="仿宋" w:cs="仿宋"/>
          <w:b/>
          <w:color w:val="auto"/>
          <w:sz w:val="24"/>
          <w:highlight w:val="none"/>
          <w:u w:val="single"/>
        </w:rPr>
        <w:t xml:space="preserve">扫描件不清晰或不能辨识的视为不具备该项得分的条件</w:t>
      </w:r>
      <w:r>
        <w:rPr>
          <w:rFonts w:hint="eastAsia" w:ascii="仿宋" w:hAnsi="仿宋" w:eastAsia="仿宋" w:cs="仿宋"/>
          <w:b/>
          <w:color w:val="auto"/>
          <w:sz w:val="24"/>
          <w:highlight w:val="none"/>
        </w:rPr>
        <w:t xml:space="preserve">。</w:t>
      </w:r>
      <w:r/>
    </w:p>
    <w:p>
      <w:pPr>
        <w:jc w:val="lef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3、供应商在人员和业绩等内容涉及总公司与分公司的视为同一公司（但以分公司响应时，总公司人员和业绩等均不予认可）;为母公司与子公司的视为两家公司。</w:t>
      </w:r>
      <w:r/>
    </w:p>
    <w:p>
      <w:pPr>
        <w:pStyle w:val="1121"/>
        <w:rPr>
          <w:color w:val="auto"/>
          <w:highlight w:val="none"/>
        </w:rPr>
      </w:pPr>
      <w:r>
        <w:rPr>
          <w:color w:val="auto"/>
          <w:highlight w:val="none"/>
        </w:rPr>
      </w:r>
      <w:r/>
    </w:p>
    <w:p>
      <w:pPr>
        <w:pStyle w:val="1104"/>
        <w:jc w:val="center"/>
        <w:spacing w:before="100" w:beforeAutospacing="1" w:after="100" w:afterAutospacing="1"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第十三章 响应文件格式</w:t>
      </w:r>
      <w:r/>
    </w:p>
    <w:tbl>
      <w:tblPr>
        <w:tblStyle w:val="903"/>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spacing w:before="120"/>
              <w:rPr>
                <w:rFonts w:ascii="仿宋" w:hAnsi="仿宋" w:eastAsia="仿宋" w:cs="仿宋"/>
                <w:color w:val="auto"/>
                <w:sz w:val="24"/>
                <w:highlight w:val="none"/>
              </w:rPr>
            </w:pPr>
            <w:r>
              <w:rPr>
                <w:rFonts w:ascii="仿宋" w:hAnsi="仿宋" w:eastAsia="仿宋" w:cs="仿宋"/>
                <w:color w:val="auto"/>
                <w:sz w:val="24"/>
                <w:highlight w:val="none"/>
              </w:rPr>
            </w:r>
            <w:r/>
          </w:p>
          <w:p>
            <w:pPr>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 </w:t>
            </w:r>
            <w:r/>
          </w:p>
          <w:p>
            <w:pPr>
              <w:ind w:firstLine="480"/>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《响应文件格式》是供应商的部分响应文件格式和签订合同时所需文件的格式。供应商应参照这些格式文件制作响应文件。</w:t>
            </w:r>
            <w:r/>
          </w:p>
          <w:p>
            <w:pPr>
              <w:ind w:firstLine="480"/>
              <w:spacing w:before="12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如供应商认为本格式文件不符合其自身特点或未提供格式的，可自行拟定相应表格，但必须响应磋商文件的有关要求。</w:t>
            </w:r>
            <w:r/>
          </w:p>
          <w:p>
            <w:pPr>
              <w:ind w:firstLine="480"/>
              <w:spacing w:before="120"/>
              <w:rPr>
                <w:rFonts w:ascii="仿宋" w:hAnsi="仿宋" w:eastAsia="仿宋" w:cs="仿宋"/>
                <w:b/>
                <w:bCs/>
                <w:color w:val="auto"/>
                <w:sz w:val="24"/>
                <w:highlight w:val="none"/>
              </w:rPr>
            </w:pPr>
            <w:r>
              <w:rPr>
                <w:rFonts w:ascii="仿宋" w:hAnsi="仿宋" w:eastAsia="仿宋" w:cs="仿宋"/>
                <w:b/>
                <w:bCs/>
                <w:color w:val="auto"/>
                <w:sz w:val="24"/>
                <w:highlight w:val="none"/>
              </w:rPr>
            </w:r>
            <w:r/>
          </w:p>
        </w:tc>
      </w:tr>
    </w:tbl>
    <w:p>
      <w:pPr>
        <w:rPr>
          <w:rFonts w:ascii="仿宋" w:hAnsi="仿宋" w:eastAsia="仿宋" w:cs="仿宋"/>
          <w:color w:val="auto"/>
          <w:sz w:val="32"/>
          <w:szCs w:val="32"/>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color w:val="auto"/>
          <w:sz w:val="32"/>
          <w:szCs w:val="32"/>
          <w:highlight w:val="none"/>
        </w:rPr>
      </w:r>
      <w:r/>
    </w:p>
    <w:p>
      <w:pPr>
        <w:pStyle w:val="1108"/>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108"/>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9"/>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9"/>
        <w:rPr>
          <w:color w:val="auto"/>
          <w:highlight w:val="none"/>
        </w:rPr>
      </w:pPr>
      <w:r>
        <w:rPr>
          <w:color w:val="auto"/>
          <w:highlight w:val="none"/>
        </w:rPr>
      </w:r>
      <w:r/>
    </w:p>
    <w:p>
      <w:pPr>
        <w:pStyle w:val="1108"/>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8"/>
        <w:jc w:val="center"/>
        <w:rPr>
          <w:rFonts w:ascii="Arial" w:hAnsi="Arial" w:eastAsia="仿宋_GB2312"/>
          <w:b/>
          <w:color w:val="auto"/>
          <w:spacing w:val="100"/>
          <w:sz w:val="72"/>
          <w:szCs w:val="72"/>
          <w:highlight w:val="none"/>
        </w:rPr>
      </w:pPr>
      <w:r>
        <w:rPr>
          <w:rFonts w:hint="eastAsia" w:ascii="Arial" w:hAnsi="Arial" w:eastAsia="仿宋_GB2312"/>
          <w:b/>
          <w:color w:val="auto"/>
          <w:spacing w:val="100"/>
          <w:sz w:val="72"/>
          <w:szCs w:val="72"/>
          <w:highlight w:val="none"/>
        </w:rPr>
        <w:t xml:space="preserve">响应</w:t>
      </w:r>
      <w:r>
        <w:rPr>
          <w:rFonts w:ascii="Arial" w:hAnsi="Arial" w:eastAsia="仿宋_GB2312"/>
          <w:b/>
          <w:color w:val="auto"/>
          <w:spacing w:val="100"/>
          <w:sz w:val="72"/>
          <w:szCs w:val="72"/>
          <w:highlight w:val="none"/>
        </w:rPr>
        <w:t xml:space="preserve">文件(格式)</w:t>
      </w:r>
      <w:r/>
    </w:p>
    <w:p>
      <w:pPr>
        <w:pStyle w:val="1108"/>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108"/>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08"/>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08"/>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08"/>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08"/>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1108"/>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1108"/>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108"/>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8"/>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8"/>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投标单位全称</w:t>
      </w:r>
      <w:r/>
    </w:p>
    <w:p>
      <w:pPr>
        <w:pStyle w:val="1108"/>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108"/>
        <w:jc w:val="center"/>
        <w:spacing w:line="600" w:lineRule="auto"/>
        <w:rPr>
          <w:rFonts w:ascii="Arial" w:hAnsi="Arial" w:eastAsia="仿宋_GB2312"/>
          <w:color w:val="auto"/>
          <w:sz w:val="32"/>
          <w:szCs w:val="32"/>
          <w:highlight w:val="none"/>
        </w:rPr>
        <w:sectPr>
          <w:headerReference w:type="default" r:id="rId14"/>
          <w:footerReference w:type="default" r:id="rId21"/>
          <w:footerReference w:type="even" r:id="rId22"/>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32"/>
          <w:szCs w:val="32"/>
          <w:highlight w:val="none"/>
        </w:rPr>
      </w:r>
      <w:r/>
    </w:p>
    <w:p>
      <w:pPr>
        <w:pStyle w:val="1369"/>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369"/>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（一）首轮报价</w:t>
      </w:r>
      <w:r>
        <w:rPr>
          <w:rFonts w:ascii="Arial" w:hAnsi="Arial" w:eastAsia="仿宋_GB2312"/>
          <w:bCs w:val="0"/>
          <w:color w:val="auto"/>
          <w:sz w:val="28"/>
          <w:szCs w:val="28"/>
          <w:highlight w:val="none"/>
        </w:rPr>
        <w:t xml:space="preserve">一览表</w:t>
      </w:r>
      <w:r/>
    </w:p>
    <w:p>
      <w:pPr>
        <w:pStyle w:val="1108"/>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08"/>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109"/>
        <w:rPr>
          <w:color w:val="auto"/>
          <w:highlight w:val="none"/>
        </w:rPr>
      </w:pPr>
      <w:r>
        <w:rPr>
          <w:color w:val="auto"/>
          <w:highlight w:val="none"/>
        </w:rPr>
      </w:r>
      <w:r/>
    </w:p>
    <w:p>
      <w:pPr>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p>
    <w:p>
      <w:pPr>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90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210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237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W w:w="4428"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210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详见响应文件 </w:t>
            </w:r>
            <w:r/>
          </w:p>
        </w:tc>
        <w:tc>
          <w:tcPr>
            <w:tcW w:w="237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4428"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W w:w="4486"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108"/>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08"/>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9"/>
        <w:jc w:val="left"/>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9"/>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9"/>
        <w:jc w:val="center"/>
        <w:rPr>
          <w:rFonts w:ascii="Arial" w:hAnsi="Arial" w:eastAsia="仿宋_GB2312"/>
          <w:color w:val="auto"/>
          <w:sz w:val="28"/>
          <w:szCs w:val="28"/>
          <w:highlight w:val="none"/>
        </w:rPr>
      </w:pPr>
      <w:r>
        <w:rPr>
          <w:rFonts w:ascii="Arial" w:hAnsi="Arial" w:eastAsia="仿宋_GB2312"/>
          <w:color w:val="auto"/>
          <w:sz w:val="28"/>
          <w:szCs w:val="28"/>
          <w:highlight w:val="none"/>
        </w:rPr>
        <w:br w:type="page" w:clear="all"/>
      </w:r>
      <w:bookmarkStart w:id="121" w:name="_Toc302967412"/>
      <w:r>
        <w:rPr>
          <w:rFonts w:hint="eastAsia" w:ascii="Arial" w:hAnsi="Arial" w:eastAsia="仿宋_GB2312"/>
          <w:b/>
          <w:bCs/>
          <w:color w:val="auto"/>
          <w:sz w:val="28"/>
          <w:szCs w:val="28"/>
          <w:highlight w:val="none"/>
        </w:rPr>
        <w:t xml:space="preserve">（二）</w:t>
      </w:r>
      <w:r>
        <w:rPr>
          <w:rFonts w:ascii="Arial" w:hAnsi="Arial" w:eastAsia="仿宋_GB2312"/>
          <w:b/>
          <w:bCs/>
          <w:color w:val="auto"/>
          <w:sz w:val="28"/>
          <w:szCs w:val="28"/>
          <w:highlight w:val="none"/>
        </w:rPr>
        <w:t xml:space="preserve">法定代表人授权书</w:t>
      </w:r>
      <w:bookmarkEnd w:id="121"/>
      <w:r/>
      <w:r/>
    </w:p>
    <w:p>
      <w:pPr>
        <w:pStyle w:val="1108"/>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108"/>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靖江市自然资源和规划局</w:t>
      </w:r>
      <w:r>
        <w:rPr>
          <w:rFonts w:ascii="仿宋" w:hAnsi="仿宋" w:eastAsia="仿宋"/>
          <w:bCs/>
          <w:color w:val="auto"/>
          <w:sz w:val="24"/>
          <w:highlight w:val="none"/>
        </w:rPr>
        <w:t xml:space="preserve">：</w:t>
      </w:r>
      <w:r/>
    </w:p>
    <w:p>
      <w:pPr>
        <w:pStyle w:val="1108"/>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108"/>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108"/>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108"/>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249"/>
        <w:rPr>
          <w:color w:val="auto"/>
          <w:highlight w:val="none"/>
        </w:rPr>
      </w:pPr>
      <w:r>
        <w:rPr>
          <w:color w:val="auto"/>
          <w:highlight w:val="none"/>
        </w:rPr>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8"/>
        <w:rPr>
          <w:rFonts w:ascii="仿宋" w:hAnsi="仿宋" w:eastAsia="仿宋"/>
          <w:color w:val="auto"/>
          <w:sz w:val="24"/>
          <w:highlight w:val="none"/>
        </w:rPr>
      </w:pPr>
      <w:r>
        <w:rPr>
          <w:rFonts w:ascii="仿宋" w:hAnsi="仿宋" w:eastAsia="仿宋"/>
          <w:color w:val="auto"/>
          <w:sz w:val="24"/>
          <w:highlight w:val="none"/>
        </w:rPr>
      </w:r>
      <w:r/>
    </w:p>
    <w:p>
      <w:pPr>
        <w:pStyle w:val="1108"/>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08"/>
        <w:jc w:val="center"/>
        <w:spacing w:line="460" w:lineRule="exact"/>
        <w:rPr>
          <w:rFonts w:ascii="Arial" w:hAnsi="Arial" w:eastAsia="仿宋_GB2312"/>
          <w:b/>
          <w:bCs/>
          <w:color w:val="auto"/>
          <w:sz w:val="24"/>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bCs/>
          <w:color w:val="auto"/>
          <w:sz w:val="24"/>
          <w:highlight w:val="none"/>
        </w:rPr>
      </w:r>
      <w:r/>
    </w:p>
    <w:p>
      <w:pPr>
        <w:pStyle w:val="1369"/>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108"/>
        <w:rPr>
          <w:color w:val="auto"/>
          <w:highlight w:val="none"/>
        </w:rPr>
      </w:pPr>
      <w:r>
        <w:rPr>
          <w:color w:val="auto"/>
          <w:highlight w:val="none"/>
        </w:rPr>
      </w:r>
      <w:r/>
    </w:p>
    <w:p>
      <w:pPr>
        <w:pStyle w:val="1108"/>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1109"/>
        <w:rPr>
          <w:color w:val="auto"/>
          <w:highlight w:val="none"/>
        </w:rPr>
      </w:pPr>
      <w:r>
        <w:rPr>
          <w:color w:val="auto"/>
          <w:highlight w:val="none"/>
        </w:rPr>
      </w:r>
      <w:r/>
    </w:p>
    <w:p>
      <w:pPr>
        <w:pStyle w:val="1108"/>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（二）（供应商）关于资格的声明函</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靖江市自然资源和规划局</w:t>
      </w:r>
      <w:r>
        <w:rPr>
          <w:rFonts w:ascii="仿宋" w:hAnsi="仿宋" w:eastAsia="仿宋"/>
          <w:b/>
          <w:bCs/>
          <w:color w:val="auto"/>
          <w:sz w:val="24"/>
          <w:highlight w:val="none"/>
        </w:rPr>
        <w:t xml:space="preserve">：</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注：后附第2条查询记录文件。</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8"/>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108"/>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67"/>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（三）（供应商）基本资格条件承诺书（格式）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86"/>
        <w:ind w:firstLine="400"/>
        <w:rPr>
          <w:color w:val="auto"/>
          <w:highlight w:val="none"/>
        </w:rPr>
      </w:pPr>
      <w:r>
        <w:rPr>
          <w:color w:val="auto"/>
          <w:highlight w:val="none"/>
        </w:rPr>
      </w:r>
      <w:r/>
    </w:p>
    <w:p>
      <w:pPr>
        <w:rPr>
          <w:color w:val="auto"/>
          <w:highlight w:val="none"/>
        </w:rPr>
      </w:pPr>
      <w:r>
        <w:rPr>
          <w:color w:val="auto"/>
          <w:highlight w:val="none"/>
        </w:rPr>
      </w:r>
      <w:r/>
    </w:p>
    <w:p>
      <w:pPr>
        <w:pStyle w:val="1186"/>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供应商名称(电子签章)：</w:t>
      </w:r>
      <w:r/>
    </w:p>
    <w:p>
      <w:pPr>
        <w:pStyle w:val="1186"/>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86"/>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67"/>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pStyle w:val="1108"/>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中小企业声明函</w:t>
      </w:r>
      <w:r>
        <w:rPr>
          <w:rFonts w:hint="eastAsia" w:ascii="Arial" w:hAnsi="Arial" w:eastAsia="仿宋_GB2312"/>
          <w:b/>
          <w:color w:val="auto"/>
          <w:sz w:val="28"/>
          <w:szCs w:val="28"/>
          <w:highlight w:val="none"/>
        </w:rPr>
        <w:t xml:space="preserve">（工程、服务）</w:t>
      </w:r>
      <w:r/>
    </w:p>
    <w:p>
      <w:pPr>
        <w:pStyle w:val="1108"/>
        <w:jc w:val="center"/>
        <w:spacing w:line="360" w:lineRule="exact"/>
        <w:rPr>
          <w:rFonts w:ascii="仿宋" w:hAnsi="仿宋" w:eastAsia="仿宋"/>
          <w:color w:val="auto"/>
          <w:highlight w:val="none"/>
        </w:rPr>
      </w:pPr>
      <w:r>
        <w:rPr>
          <w:rFonts w:ascii="仿宋" w:hAnsi="仿宋" w:eastAsia="仿宋"/>
          <w:color w:val="auto"/>
          <w:highlight w:val="none"/>
        </w:rPr>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本公司（联合体）郑重声明，根据《政府采购促进中小企业发展管理办法》（财库﹝2020﹞46 号）的规定，本公司（联合体）参加</w:t>
      </w:r>
      <w:r>
        <w:rPr>
          <w:rFonts w:ascii="仿宋" w:hAnsi="仿宋" w:eastAsia="仿宋"/>
          <w:bCs/>
          <w:color w:val="auto"/>
          <w:sz w:val="24"/>
          <w:highlight w:val="none"/>
          <w:u w:val="single"/>
        </w:rPr>
        <w:t xml:space="preserve">        （单位名称）</w:t>
      </w:r>
      <w:r>
        <w:rPr>
          <w:rFonts w:ascii="仿宋" w:hAnsi="仿宋" w:eastAsia="仿宋"/>
          <w:bCs/>
          <w:color w:val="auto"/>
          <w:sz w:val="24"/>
          <w:highlight w:val="none"/>
        </w:rPr>
        <w:t xml:space="preserve">的</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项目</w:t>
      </w:r>
      <w:r>
        <w:rPr>
          <w:rFonts w:ascii="仿宋" w:hAnsi="仿宋" w:eastAsia="仿宋"/>
          <w:bCs/>
          <w:color w:val="auto"/>
          <w:sz w:val="24"/>
          <w:highlight w:val="none"/>
          <w:u w:val="single"/>
        </w:rPr>
        <w:t xml:space="preserve">名称）</w:t>
      </w:r>
      <w:r>
        <w:rPr>
          <w:rFonts w:ascii="仿宋" w:hAnsi="仿宋" w:eastAsia="仿宋"/>
          <w:bCs/>
          <w:color w:val="auto"/>
          <w:sz w:val="24"/>
          <w:highlight w:val="none"/>
        </w:rPr>
        <w:t xml:space="preserve">采购活动，</w:t>
      </w:r>
      <w:r>
        <w:rPr>
          <w:rFonts w:hint="eastAsia" w:ascii="仿宋" w:hAnsi="仿宋" w:eastAsia="仿宋"/>
          <w:bCs/>
          <w:color w:val="auto"/>
          <w:sz w:val="24"/>
          <w:highlight w:val="none"/>
        </w:rPr>
        <w:t xml:space="preserve">工程的施工单位全部为符合</w:t>
      </w:r>
      <w:r>
        <w:rPr>
          <w:rFonts w:ascii="仿宋" w:hAnsi="仿宋" w:eastAsia="仿宋"/>
          <w:bCs/>
          <w:color w:val="auto"/>
          <w:sz w:val="24"/>
          <w:highlight w:val="none"/>
        </w:rPr>
        <w:t xml:space="preserve">中小企业</w:t>
      </w:r>
      <w:r>
        <w:rPr>
          <w:rFonts w:hint="eastAsia" w:ascii="仿宋" w:hAnsi="仿宋" w:eastAsia="仿宋"/>
          <w:bCs/>
          <w:color w:val="auto"/>
          <w:sz w:val="24"/>
          <w:highlight w:val="none"/>
        </w:rPr>
        <w:t xml:space="preserve">（或者：服务全部由符合政策要求的中小企业承接</w:t>
      </w:r>
      <w:r>
        <w:rPr>
          <w:rFonts w:ascii="仿宋" w:hAnsi="仿宋" w:eastAsia="仿宋"/>
          <w:bCs/>
          <w:color w:val="auto"/>
          <w:sz w:val="24"/>
          <w:highlight w:val="none"/>
        </w:rPr>
        <w:t xml:space="preserve">）。相关企业（含联合体中的中小企业、签订分包意向协议的中小企业）的具体情况如下：</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1.</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（采购文件中明确的所属行业）</w:t>
      </w:r>
      <w:r>
        <w:rPr>
          <w:rFonts w:ascii="仿宋" w:hAnsi="仿宋" w:eastAsia="仿宋"/>
          <w:bCs/>
          <w:color w:val="auto"/>
          <w:sz w:val="24"/>
          <w:highlight w:val="none"/>
        </w:rPr>
        <w:t xml:space="preserve">；承建（承接）企业为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万元</w:t>
      </w:r>
      <w:r>
        <w:rPr>
          <w:rFonts w:hint="eastAsia" w:ascii="仿宋" w:hAnsi="仿宋" w:eastAsia="仿宋" w:cs="仿宋"/>
          <w:bCs/>
          <w:color w:val="auto"/>
          <w:sz w:val="24"/>
          <w:highlight w:val="none"/>
          <w:vertAlign w:val="superscript"/>
        </w:rPr>
        <w:t xml:space="preserve">1</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2.</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（采购文件中明确的所属行业）</w:t>
      </w:r>
      <w:r>
        <w:rPr>
          <w:rFonts w:ascii="仿宋" w:hAnsi="仿宋" w:eastAsia="仿宋"/>
          <w:bCs/>
          <w:color w:val="auto"/>
          <w:sz w:val="24"/>
          <w:highlight w:val="none"/>
        </w:rPr>
        <w:t xml:space="preserve">；承建（承接）为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9"/>
        <w:rPr>
          <w:color w:val="auto"/>
          <w:highlight w:val="none"/>
        </w:rPr>
      </w:pPr>
      <w:r>
        <w:rPr>
          <w:color w:val="auto"/>
          <w:highlight w:val="none"/>
        </w:rPr>
      </w:r>
      <w:r/>
    </w:p>
    <w:p>
      <w:pPr>
        <w:pStyle w:val="1108"/>
        <w:rPr>
          <w:color w:val="auto"/>
          <w:highlight w:val="none"/>
        </w:rPr>
      </w:pPr>
      <w:r>
        <w:rPr>
          <w:color w:val="auto"/>
          <w:highlight w:val="none"/>
        </w:rPr>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本企业对上述声明内容的真实性负责。如有虚假，将依法承担相应责任。</w:t>
      </w:r>
      <w:r/>
    </w:p>
    <w:p>
      <w:pPr>
        <w:pStyle w:val="1109"/>
        <w:rPr>
          <w:color w:val="auto"/>
          <w:highlight w:val="none"/>
        </w:rPr>
      </w:pPr>
      <w:r>
        <w:rPr>
          <w:color w:val="auto"/>
          <w:highlight w:val="none"/>
        </w:rPr>
      </w:r>
      <w:r/>
    </w:p>
    <w:p>
      <w:pPr>
        <w:pStyle w:val="1108"/>
        <w:ind w:firstLine="480"/>
        <w:spacing w:line="300" w:lineRule="auto"/>
        <w:rPr>
          <w:rFonts w:ascii="宋体" w:hAnsi="宋体"/>
          <w:bCs/>
          <w:color w:val="auto"/>
          <w:sz w:val="24"/>
          <w:highlight w:val="none"/>
        </w:rPr>
      </w:pPr>
      <w:r>
        <w:rPr>
          <w:rFonts w:ascii="宋体" w:hAnsi="宋体"/>
          <w:bCs/>
          <w:color w:val="auto"/>
          <w:sz w:val="24"/>
          <w:highlight w:val="none"/>
        </w:rPr>
        <w:t xml:space="preserve"> </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8"/>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08"/>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08"/>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1108"/>
        <w:spacing w:line="300" w:lineRule="auto"/>
        <w:rPr>
          <w:rFonts w:ascii="仿宋" w:hAnsi="仿宋" w:eastAsia="仿宋"/>
          <w:b/>
          <w:color w:val="auto"/>
          <w:sz w:val="24"/>
          <w:highlight w:val="none"/>
        </w:rPr>
      </w:pPr>
      <w:r>
        <w:rPr>
          <w:rFonts w:ascii="仿宋" w:hAnsi="仿宋" w:eastAsia="仿宋"/>
          <w:b/>
          <w:color w:val="auto"/>
          <w:sz w:val="24"/>
          <w:highlight w:val="none"/>
        </w:rPr>
        <w:t xml:space="preserve">注：1、从业人员、营业收入、资产总额填报上一年度数据，无上一年度数据的新成立企业可不填报。</w:t>
      </w:r>
      <w:r/>
    </w:p>
    <w:p>
      <w:pPr>
        <w:pStyle w:val="1108"/>
        <w:ind w:firstLine="482"/>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2、</w:t>
      </w:r>
      <w:r>
        <w:rPr>
          <w:rFonts w:hint="eastAsia" w:ascii="仿宋" w:hAnsi="仿宋" w:eastAsia="仿宋" w:cs="仿宋"/>
          <w:b/>
          <w:bCs/>
          <w:color w:val="auto"/>
          <w:sz w:val="24"/>
          <w:highlight w:val="none"/>
        </w:rPr>
        <w:t xml:space="preserve">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highlight w:val="none"/>
          <w:u w:val="single"/>
        </w:rPr>
        <w:t xml:space="preserve">服务类项目中供应商若使用退休人员等未采用订立劳动合同的从业人员服务，将不享受相应扶持政策。</w:t>
      </w:r>
      <w:r/>
    </w:p>
    <w:p>
      <w:pPr>
        <w:pStyle w:val="1109"/>
        <w:rPr>
          <w:rFonts w:ascii="仿宋" w:hAnsi="仿宋" w:eastAsia="仿宋"/>
          <w:b/>
          <w:color w:val="auto"/>
          <w:highlight w:val="none"/>
        </w:rPr>
      </w:pPr>
      <w:r>
        <w:rPr>
          <w:rFonts w:ascii="仿宋" w:hAnsi="仿宋" w:eastAsia="仿宋"/>
          <w:b/>
          <w:color w:val="auto"/>
          <w:highlight w:val="none"/>
        </w:rPr>
      </w:r>
      <w:r/>
    </w:p>
    <w:p>
      <w:pPr>
        <w:pStyle w:val="1108"/>
        <w:rPr>
          <w:color w:val="auto"/>
          <w:highlight w:val="none"/>
        </w:rPr>
      </w:pPr>
      <w:r>
        <w:rPr>
          <w:color w:val="auto"/>
          <w:highlight w:val="none"/>
        </w:rPr>
      </w:r>
      <w:r/>
    </w:p>
    <w:p>
      <w:pPr>
        <w:pStyle w:val="1108"/>
        <w:rPr>
          <w:color w:val="auto"/>
          <w:highlight w:val="none"/>
        </w:rPr>
      </w:pPr>
      <w:r>
        <w:rPr>
          <w:color w:val="auto"/>
          <w:highlight w:val="none"/>
        </w:rPr>
      </w:r>
      <w:r/>
    </w:p>
    <w:p>
      <w:pPr>
        <w:pStyle w:val="1108"/>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108"/>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08"/>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8"/>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0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8"/>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8"/>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108"/>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96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08"/>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09"/>
        <w:rPr>
          <w:color w:val="auto"/>
          <w:highlight w:val="none"/>
        </w:rPr>
      </w:pPr>
      <w:r>
        <w:rPr>
          <w:color w:val="auto"/>
          <w:highlight w:val="none"/>
        </w:rPr>
      </w:r>
      <w:r/>
    </w:p>
    <w:p>
      <w:pPr>
        <w:pStyle w:val="1108"/>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8"/>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8"/>
        <w:rPr>
          <w:color w:val="auto"/>
          <w:highlight w:val="none"/>
        </w:rPr>
      </w:pPr>
      <w:r>
        <w:rPr>
          <w:color w:val="auto"/>
          <w:highlight w:val="none"/>
        </w:rPr>
      </w:r>
      <w:r/>
    </w:p>
    <w:p>
      <w:pPr>
        <w:pStyle w:val="1108"/>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108"/>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109"/>
        <w:spacing w:before="240"/>
        <w:rPr>
          <w:color w:val="auto"/>
          <w:highlight w:val="none"/>
        </w:rPr>
      </w:pPr>
      <w:r>
        <w:rPr>
          <w:color w:val="auto"/>
          <w:highlight w:val="none"/>
        </w:rPr>
      </w:r>
      <w:r/>
    </w:p>
    <w:p>
      <w:pPr>
        <w:pStyle w:val="1108"/>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108"/>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369"/>
        <w:numPr>
          <w:ilvl w:val="0"/>
          <w:numId w:val="0"/>
        </w:numPr>
        <w:jc w:val="center"/>
        <w:rPr>
          <w:rFonts w:ascii="Arial" w:hAnsi="Arial" w:eastAsia="仿宋_GB2312"/>
          <w:color w:val="auto"/>
          <w:sz w:val="28"/>
          <w:szCs w:val="28"/>
          <w:highlight w:val="none"/>
        </w:rPr>
      </w:pPr>
      <w:r/>
      <w:bookmarkStart w:id="122" w:name="_Toc302967411"/>
      <w:r>
        <w:rPr>
          <w:rFonts w:hint="eastAsia" w:ascii="Arial" w:hAnsi="Arial" w:eastAsia="仿宋_GB2312"/>
          <w:color w:val="auto"/>
          <w:sz w:val="28"/>
          <w:szCs w:val="28"/>
          <w:highlight w:val="none"/>
        </w:rPr>
        <w:t xml:space="preserve">（一）</w:t>
      </w:r>
      <w:bookmarkEnd w:id="122"/>
      <w:r>
        <w:rPr>
          <w:rFonts w:hint="eastAsia" w:ascii="Arial" w:hAnsi="Arial" w:eastAsia="仿宋_GB2312"/>
          <w:color w:val="auto"/>
          <w:sz w:val="28"/>
          <w:szCs w:val="28"/>
          <w:highlight w:val="none"/>
        </w:rPr>
        <w:t xml:space="preserve">磋商声明函</w:t>
      </w:r>
      <w:r/>
    </w:p>
    <w:p>
      <w:pPr>
        <w:pStyle w:val="1108"/>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靖江市自然资源和规划局</w:t>
      </w:r>
      <w:r>
        <w:rPr>
          <w:rFonts w:ascii="仿宋" w:hAnsi="仿宋" w:eastAsia="仿宋"/>
          <w:color w:val="auto"/>
          <w:sz w:val="24"/>
          <w:highlight w:val="none"/>
          <w:u w:val="single"/>
        </w:rPr>
        <w:t xml:space="preserve">：</w:t>
      </w:r>
      <w:r/>
    </w:p>
    <w:p>
      <w:pPr>
        <w:pStyle w:val="1108"/>
        <w:spacing w:line="480" w:lineRule="exact"/>
        <w:rPr>
          <w:rFonts w:ascii="仿宋" w:hAnsi="仿宋" w:eastAsia="仿宋"/>
          <w:color w:val="auto"/>
          <w:sz w:val="24"/>
          <w:highlight w:val="none"/>
        </w:rPr>
      </w:pPr>
      <w:r>
        <w:rPr>
          <w:rFonts w:ascii="仿宋" w:hAnsi="仿宋" w:eastAsia="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我们收到你们</w:t>
      </w:r>
      <w:r>
        <w:rPr>
          <w:rFonts w:hint="eastAsia" w:ascii="仿宋" w:hAnsi="仿宋" w:eastAsia="仿宋" w:cs="仿宋"/>
          <w:color w:val="auto"/>
          <w:sz w:val="24"/>
          <w:highlight w:val="none"/>
          <w:u w:val="single"/>
        </w:rPr>
        <w:t xml:space="preserve">           （项目编号）</w:t>
      </w:r>
      <w:r>
        <w:rPr>
          <w:rFonts w:hint="eastAsia" w:ascii="仿宋" w:hAnsi="仿宋" w:eastAsia="仿宋" w:cs="仿宋"/>
          <w:color w:val="auto"/>
          <w:sz w:val="24"/>
          <w:highlight w:val="none"/>
        </w:rPr>
        <w:t xml:space="preserve">磋商文件，经仔细阅读和研究，我们决定参加磋商。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1、我们愿意按照磋商磋商文件的一切要求，提供本次磋商所需服务，包括提供本次服务的一切费用。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2、如果我们的响应文件被接受，我们将严格履行磋商磋商文件中规定的每一项要求，按期、按质、按量履行服务义务。</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3、我们同意按磋商磋商文件中的规定，本响应文件的有效期限为自开标之日起60日。</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4、我们愿意提供采购人在磋商磋商文件中要求的所有资料。</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5、我方愿意遵守磋商磋商文件中所列的收费标准。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6、我方在磋商响应文件和磋商中所作的承诺在磋商后保持有效，不作任何更改和变动。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7、如我方成为成交单位，我方愿意在领取成交通知书时按磋商文件要求向代理机构支付成交服务费。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8、我们愿意按照《中华人民共和国民法典》履行自己应该承担的全部责任。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9、我们愿意按照贵公司磋商磋商文件的要求提供全部磋商响应文件，并保证全部磋商响应文件内容真实有效，若有虚假，我公司愿意承担与此相关的一切责任。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10、综合说明：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（1）伴随服务及配合措施；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（2）要求采购单位提供的配合；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（3）对磋商磋商文件有不同意见的偏离说明；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（4）其它说明；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所有有关标书的函电，请按下列地址联系：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邮编：</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                              地址：</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联系电话：</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磋商响应单位（电子签章）：                </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磋商响应单位全权代表(签字/电子签章)：</w:t>
      </w:r>
      <w:r/>
    </w:p>
    <w:p>
      <w:pP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日 期：      年   月   日</w:t>
      </w:r>
      <w:r/>
    </w:p>
    <w:p>
      <w:pPr>
        <w:pStyle w:val="1106"/>
        <w:numPr>
          <w:ilvl w:val="0"/>
          <w:numId w:val="0"/>
        </w:numPr>
        <w:jc w:val="center"/>
        <w:rPr>
          <w:rFonts w:ascii="仿宋" w:hAnsi="仿宋" w:eastAsia="仿宋" w:cs="仿宋"/>
          <w:b w:val="0"/>
          <w:bCs w:val="0"/>
          <w:color w:val="auto"/>
          <w:sz w:val="24"/>
          <w:highlight w:val="none"/>
        </w:rPr>
        <w:sectPr>
          <w:footerReference w:type="default" r:id="rId23"/>
          <w:footerReference w:type="even" r:id="rId24"/>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b w:val="0"/>
          <w:bCs w:val="0"/>
          <w:color w:val="auto"/>
          <w:sz w:val="24"/>
          <w:highlight w:val="none"/>
        </w:rPr>
      </w:r>
      <w:r/>
    </w:p>
    <w:p>
      <w:pPr>
        <w:pStyle w:val="1369"/>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370"/>
        <w:rPr>
          <w:rFonts w:ascii="仿宋" w:hAnsi="仿宋" w:eastAsia="仿宋"/>
          <w:color w:val="auto"/>
          <w:sz w:val="24"/>
          <w:szCs w:val="24"/>
          <w:highlight w:val="none"/>
          <w:u w:val="single"/>
        </w:rPr>
      </w:pPr>
      <w:r>
        <w:rPr>
          <w:rFonts w:hint="eastAsia" w:ascii="仿宋" w:hAnsi="仿宋" w:eastAsia="仿宋" w:cs="仿宋"/>
          <w:color w:val="auto"/>
          <w:sz w:val="24"/>
          <w:highlight w:val="none"/>
          <w:lang w:eastAsia="zh-CN"/>
        </w:rPr>
        <w:t xml:space="preserve">项目</w:t>
      </w:r>
      <w:r>
        <w:rPr>
          <w:rFonts w:ascii="仿宋" w:hAnsi="仿宋" w:eastAsia="仿宋"/>
          <w:color w:val="auto"/>
          <w:sz w:val="24"/>
          <w:szCs w:val="24"/>
          <w:highlight w:val="none"/>
        </w:rPr>
        <w:t xml:space="preserve">编号：</w:t>
      </w:r>
      <w:r/>
    </w:p>
    <w:tbl>
      <w:tblPr>
        <w:tblStyle w:val="903"/>
        <w:tblW w:w="91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395"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108"/>
              <w:ind w:left="-111"/>
              <w:jc w:val="center"/>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0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trHeight w:val="697"/>
        </w:trPr>
        <w:tc>
          <w:tcPr>
            <w:tcW w:w="153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服务期</w:t>
            </w:r>
            <w:r/>
          </w:p>
        </w:tc>
        <w:tc>
          <w:tcPr>
            <w:tcW w:w="3395" w:type="dxa"/>
            <w:textDirection w:val="lrTb"/>
            <w:noWrap/>
          </w:tcPr>
          <w:p>
            <w:pPr>
              <w:pStyle w:val="1108"/>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08"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828"/>
        </w:trPr>
        <w:tc>
          <w:tcPr>
            <w:tcW w:w="153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服务地点</w:t>
            </w:r>
            <w:r/>
          </w:p>
        </w:tc>
        <w:tc>
          <w:tcPr>
            <w:tcW w:w="3395" w:type="dxa"/>
            <w:textDirection w:val="lrTb"/>
            <w:noWrap/>
          </w:tcPr>
          <w:p>
            <w:pPr>
              <w:pStyle w:val="1108"/>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8"/>
              <w:ind w:left="4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08" w:type="dxa"/>
            <w:textDirection w:val="lrTb"/>
            <w:noWrap/>
          </w:tcPr>
          <w:p>
            <w:pPr>
              <w:pStyle w:val="1108"/>
              <w:ind w:left="4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1218"/>
        </w:trPr>
        <w:tc>
          <w:tcPr>
            <w:tcW w:w="153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付款条件</w:t>
            </w:r>
            <w:r/>
          </w:p>
        </w:tc>
        <w:tc>
          <w:tcPr>
            <w:tcW w:w="3395" w:type="dxa"/>
            <w:textDirection w:val="lrTb"/>
            <w:noWrap/>
          </w:tcPr>
          <w:p>
            <w:pPr>
              <w:pStyle w:val="1108"/>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08"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802"/>
        </w:trPr>
        <w:tc>
          <w:tcPr>
            <w:tcW w:w="153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招标范围</w:t>
            </w:r>
            <w:r/>
          </w:p>
        </w:tc>
        <w:tc>
          <w:tcPr>
            <w:tcW w:w="3395" w:type="dxa"/>
            <w:textDirection w:val="lrTb"/>
            <w:noWrap/>
          </w:tcPr>
          <w:p>
            <w:pPr>
              <w:pStyle w:val="1108"/>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08"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535"/>
        </w:trPr>
        <w:tc>
          <w:tcPr>
            <w:tcW w:w="153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投标有效期</w:t>
            </w:r>
            <w:r/>
          </w:p>
        </w:tc>
        <w:tc>
          <w:tcPr>
            <w:tcW w:w="3395" w:type="dxa"/>
            <w:textDirection w:val="lrTb"/>
            <w:noWrap/>
          </w:tcPr>
          <w:p>
            <w:pPr>
              <w:pStyle w:val="1108"/>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08"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802"/>
        </w:trPr>
        <w:tc>
          <w:tcPr>
            <w:tcW w:w="153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违约责任</w:t>
            </w:r>
            <w:r/>
          </w:p>
        </w:tc>
        <w:tc>
          <w:tcPr>
            <w:tcW w:w="3395" w:type="dxa"/>
            <w:textDirection w:val="lrTb"/>
            <w:noWrap/>
          </w:tcPr>
          <w:p>
            <w:pPr>
              <w:pStyle w:val="1108"/>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08"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802"/>
        </w:trPr>
        <w:tc>
          <w:tcPr>
            <w:tcW w:w="153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招标文件规定的其他商务要求</w:t>
            </w:r>
            <w:r/>
          </w:p>
        </w:tc>
        <w:tc>
          <w:tcPr>
            <w:tcW w:w="3395" w:type="dxa"/>
            <w:textDirection w:val="lrTb"/>
            <w:noWrap/>
          </w:tcPr>
          <w:p>
            <w:pPr>
              <w:pStyle w:val="1108"/>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08"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trHeight w:val="535"/>
        </w:trPr>
        <w:tc>
          <w:tcPr>
            <w:tcW w:w="1537" w:type="dxa"/>
            <w:vAlign w:val="center"/>
            <w:textDirection w:val="lrTb"/>
            <w:noWrap/>
          </w:tcPr>
          <w:p>
            <w:pPr>
              <w:pStyle w:val="1108"/>
              <w:jc w:val="center"/>
              <w:spacing w:before="120"/>
              <w:rPr>
                <w:rFonts w:ascii="仿宋" w:hAnsi="仿宋" w:eastAsia="仿宋"/>
                <w:color w:val="auto"/>
                <w:sz w:val="24"/>
                <w:highlight w:val="none"/>
              </w:rPr>
            </w:pPr>
            <w:r>
              <w:rPr>
                <w:rFonts w:ascii="仿宋" w:hAnsi="仿宋" w:eastAsia="仿宋"/>
                <w:color w:val="auto"/>
                <w:sz w:val="24"/>
                <w:highlight w:val="none"/>
              </w:rPr>
              <w:t xml:space="preserve">……</w:t>
            </w:r>
            <w:r/>
          </w:p>
        </w:tc>
        <w:tc>
          <w:tcPr>
            <w:tcW w:w="3395"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1072"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08" w:type="dxa"/>
            <w:textDirection w:val="lrTb"/>
            <w:noWrap/>
          </w:tcPr>
          <w:p>
            <w:pPr>
              <w:pStyle w:val="1108"/>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108"/>
        <w:spacing w:before="120"/>
        <w:rPr>
          <w:rFonts w:ascii="仿宋" w:hAnsi="仿宋" w:eastAsia="仿宋"/>
          <w:color w:val="auto"/>
          <w:sz w:val="24"/>
          <w:highlight w:val="none"/>
        </w:rPr>
      </w:pPr>
      <w:r>
        <w:rPr>
          <w:rFonts w:ascii="仿宋" w:hAnsi="仿宋" w:eastAsia="仿宋"/>
          <w:color w:val="auto"/>
          <w:sz w:val="24"/>
          <w:highlight w:val="none"/>
        </w:rPr>
      </w:r>
      <w:r/>
    </w:p>
    <w:p>
      <w:pPr>
        <w:pStyle w:val="1108"/>
        <w:spacing w:before="120"/>
        <w:rPr>
          <w:rFonts w:ascii="仿宋" w:hAnsi="仿宋" w:eastAsia="仿宋"/>
          <w:color w:val="auto"/>
          <w:sz w:val="24"/>
          <w:highlight w:val="none"/>
        </w:rPr>
      </w:pPr>
      <w:r>
        <w:rPr>
          <w:rFonts w:ascii="仿宋" w:hAnsi="仿宋" w:eastAsia="仿宋"/>
          <w:color w:val="auto"/>
          <w:sz w:val="24"/>
          <w:highlight w:val="none"/>
        </w:rPr>
      </w:r>
      <w:r/>
    </w:p>
    <w:p>
      <w:pPr>
        <w:pStyle w:val="1108"/>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108"/>
        <w:spacing w:before="120"/>
        <w:rPr>
          <w:rFonts w:ascii="仿宋" w:hAnsi="仿宋" w:eastAsia="仿宋"/>
          <w:color w:val="auto"/>
          <w:sz w:val="24"/>
          <w:highlight w:val="none"/>
        </w:rPr>
      </w:pPr>
      <w:r>
        <w:rPr>
          <w:rFonts w:ascii="仿宋" w:hAnsi="仿宋" w:eastAsia="仿宋"/>
          <w:color w:val="auto"/>
          <w:sz w:val="24"/>
          <w:highlight w:val="none"/>
        </w:rPr>
      </w:r>
      <w:r/>
    </w:p>
    <w:p>
      <w:pPr>
        <w:pStyle w:val="1108"/>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108"/>
        <w:spacing w:before="120"/>
        <w:rPr>
          <w:rFonts w:ascii="仿宋" w:hAnsi="仿宋" w:eastAsia="仿宋"/>
          <w:color w:val="auto"/>
          <w:sz w:val="24"/>
          <w:highlight w:val="none"/>
        </w:rPr>
      </w:pPr>
      <w:r>
        <w:rPr>
          <w:rFonts w:ascii="仿宋" w:hAnsi="仿宋" w:eastAsia="仿宋"/>
          <w:color w:val="auto"/>
          <w:sz w:val="24"/>
          <w:highlight w:val="none"/>
        </w:rPr>
      </w:r>
      <w:r/>
    </w:p>
    <w:p>
      <w:pPr>
        <w:pStyle w:val="1108"/>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08"/>
        <w:rPr>
          <w:rFonts w:ascii="仿宋" w:hAnsi="仿宋" w:eastAsia="仿宋"/>
          <w:b/>
          <w:bCs/>
          <w:color w:val="auto"/>
          <w:sz w:val="24"/>
          <w:highlight w:val="none"/>
        </w:rPr>
      </w:pPr>
      <w:r>
        <w:rPr>
          <w:rFonts w:ascii="仿宋" w:hAnsi="仿宋" w:eastAsia="仿宋"/>
          <w:b/>
          <w:bCs/>
          <w:color w:val="auto"/>
          <w:sz w:val="24"/>
          <w:highlight w:val="none"/>
        </w:rPr>
      </w:r>
      <w:r/>
    </w:p>
    <w:p>
      <w:pPr>
        <w:pStyle w:val="1108"/>
        <w:rPr>
          <w:rFonts w:ascii="Arial" w:hAnsi="Arial" w:eastAsia="仿宋_GB2312"/>
          <w:color w:val="auto"/>
          <w:sz w:val="24"/>
          <w:highlight w:val="none"/>
        </w:rPr>
        <w:sectPr>
          <w:headerReference w:type="default" r:id="rId15"/>
          <w:footerReference w:type="default" r:id="rId25"/>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24"/>
          <w:highlight w:val="none"/>
        </w:rPr>
      </w:r>
      <w:r/>
    </w:p>
    <w:p>
      <w:pPr>
        <w:pStyle w:val="1369"/>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371"/>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371"/>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3"/>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71"/>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371"/>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磋商文件要求</w:t>
            </w:r>
            <w:r/>
          </w:p>
        </w:tc>
        <w:tc>
          <w:tcPr>
            <w:tcW w:w="2340" w:type="dxa"/>
            <w:vAlign w:val="center"/>
            <w:textDirection w:val="lrTb"/>
            <w:noWrap/>
          </w:tcPr>
          <w:p>
            <w:pPr>
              <w:pStyle w:val="1371"/>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371"/>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371"/>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7"/>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67"/>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67"/>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7"/>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7"/>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371"/>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371"/>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71"/>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371"/>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71"/>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71"/>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108"/>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8"/>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8"/>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108"/>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8"/>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108"/>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08"/>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08"/>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108"/>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108"/>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8"/>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108"/>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8"/>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8"/>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8"/>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108"/>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108"/>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108"/>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369"/>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108"/>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靖江市自然资源和规划局</w:t>
      </w:r>
      <w:r>
        <w:rPr>
          <w:rFonts w:ascii="仿宋" w:hAnsi="仿宋" w:eastAsia="仿宋"/>
          <w:b/>
          <w:bCs/>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我公司（供应商名称）已详细阅读了项目（项目编号：）磋商文件，自愿参加本次磋商响应，现就有关事项做出郑重承诺如下：</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1、所提供的一切资料都是真实、准确、完整的；</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2、不以他人名义响应或以其他方式弄虚作假，骗取中标；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3、不与其他供应商相互串通响应；</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4、不向采购人或磋商小组行贿以牟取中标；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5、在领取磋商文件后，准时参加开标；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6、在以往的磋商采购活动中，无重大违法、违规的不良记录；或虽有不良记录，但已超过处理期限；</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7、未被地市级及以上行政主管部门做出取消响应资格的处罚且该处罚在有效期内的；</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8、本单位一旦中标，将严格按照响应文件所承诺的报价、质量、工期、响应方案等内容组织实施；</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9、本单位一旦中标，将按规定及时与采购人签订合同；</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10、本单位保证中标后不转包，若有分包须征得采购人同意；</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11、本承诺书将成为本单位响应文件的一部分，与响应文件具有同等的法律效力。</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若有违反承诺内容的任一行为或者经磋商小组认定有串通响应嫌疑的，愿取消响应资格，列入政府采购不良行为记录，并根据《中华人民共和国政府采购法》、《政府竞争性磋商响应采购方式管理暂行办法》（财库[2014]214号）等相关法律法规中的相关条款进行处罚。如已中标的，自动取消响应资格；给采购人造成损失的，依法承担赔偿责任。</w:t>
      </w:r>
      <w:r/>
    </w:p>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1109"/>
        <w:rPr>
          <w:color w:val="auto"/>
          <w:highlight w:val="none"/>
        </w:rPr>
      </w:pPr>
      <w:r>
        <w:rPr>
          <w:color w:val="auto"/>
          <w:highlight w:val="none"/>
        </w:rPr>
      </w:r>
      <w:r/>
    </w:p>
    <w:p>
      <w:pPr>
        <w:pStyle w:val="1108"/>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108"/>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108"/>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369"/>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369"/>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hint="eastAsia" w:ascii="Arial" w:hAnsi="Arial" w:eastAsia="仿宋_GB2312"/>
          <w:bCs w:val="0"/>
          <w:color w:val="auto"/>
          <w:sz w:val="28"/>
          <w:szCs w:val="28"/>
          <w:highlight w:val="none"/>
        </w:rPr>
        <w:t xml:space="preserve">响应</w:t>
      </w:r>
      <w:r>
        <w:rPr>
          <w:rFonts w:ascii="Arial" w:hAnsi="Arial" w:eastAsia="仿宋_GB2312"/>
          <w:bCs w:val="0"/>
          <w:color w:val="auto"/>
          <w:sz w:val="28"/>
          <w:szCs w:val="28"/>
          <w:highlight w:val="none"/>
        </w:rPr>
        <w:t xml:space="preserve">报价明细表</w:t>
      </w:r>
      <w:r/>
    </w:p>
    <w:p>
      <w:pPr>
        <w:pStyle w:val="1370"/>
        <w:rPr>
          <w:rFonts w:ascii="仿宋" w:hAnsi="仿宋" w:eastAsia="仿宋"/>
          <w:color w:val="auto"/>
          <w:sz w:val="24"/>
          <w:szCs w:val="24"/>
          <w:highlight w:val="none"/>
          <w:lang w:eastAsia="zh-CN"/>
        </w:rPr>
      </w:pPr>
      <w:r>
        <w:rPr>
          <w:rFonts w:hint="eastAsia" w:ascii="仿宋" w:hAnsi="仿宋" w:eastAsia="仿宋" w:cs="仿宋"/>
          <w:color w:val="auto"/>
          <w:sz w:val="24"/>
          <w:highlight w:val="none"/>
          <w:lang w:eastAsia="zh-CN"/>
        </w:rPr>
        <w:t xml:space="preserve">项目</w:t>
      </w:r>
      <w:r>
        <w:rPr>
          <w:rFonts w:hint="eastAsia" w:ascii="仿宋" w:hAnsi="仿宋" w:eastAsia="仿宋"/>
          <w:color w:val="auto"/>
          <w:sz w:val="24"/>
          <w:szCs w:val="24"/>
          <w:highlight w:val="none"/>
          <w:lang w:eastAsia="zh-CN"/>
        </w:rPr>
        <w:t xml:space="preserve">名称：</w:t>
      </w:r>
      <w:r/>
    </w:p>
    <w:p>
      <w:pPr>
        <w:pStyle w:val="1370"/>
        <w:rPr>
          <w:rFonts w:ascii="仿宋" w:hAnsi="仿宋" w:eastAsia="仿宋"/>
          <w:color w:val="auto"/>
          <w:sz w:val="24"/>
          <w:szCs w:val="24"/>
          <w:highlight w:val="none"/>
        </w:rPr>
      </w:pPr>
      <w:r>
        <w:rPr>
          <w:rFonts w:hint="eastAsia" w:ascii="仿宋" w:hAnsi="仿宋" w:eastAsia="仿宋" w:cs="仿宋"/>
          <w:color w:val="auto"/>
          <w:sz w:val="24"/>
          <w:highlight w:val="none"/>
          <w:lang w:eastAsia="zh-CN"/>
        </w:rPr>
        <w:t xml:space="preserve">项目</w:t>
      </w:r>
      <w:r>
        <w:rPr>
          <w:rFonts w:ascii="仿宋" w:hAnsi="仿宋" w:eastAsia="仿宋"/>
          <w:color w:val="auto"/>
          <w:sz w:val="24"/>
          <w:szCs w:val="24"/>
          <w:highlight w:val="none"/>
        </w:rPr>
        <w:t xml:space="preserve">编号：</w:t>
      </w:r>
      <w:r/>
    </w:p>
    <w:tbl>
      <w:tblPr>
        <w:tblStyle w:val="903"/>
        <w:tblW w:w="91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59"/>
        <w:gridCol w:w="2114"/>
        <w:gridCol w:w="813"/>
        <w:gridCol w:w="734"/>
        <w:gridCol w:w="986"/>
        <w:gridCol w:w="1747"/>
      </w:tblGrid>
      <w:tr>
        <w:trPr>
          <w:trHeight w:val="595"/>
        </w:trPr>
        <w:tc>
          <w:tcPr>
            <w:tcW w:w="743" w:type="dxa"/>
            <w:vAlign w:val="center"/>
            <w:textDirection w:val="lrTb"/>
            <w:noWrap/>
          </w:tcPr>
          <w:p>
            <w:pPr>
              <w:pStyle w:val="1108"/>
              <w:jc w:val="center"/>
              <w:rPr>
                <w:rFonts w:ascii="仿宋" w:hAnsi="仿宋" w:eastAsia="仿宋"/>
                <w:color w:val="auto"/>
                <w:sz w:val="24"/>
                <w:szCs w:val="24"/>
                <w:highlight w:val="none"/>
              </w:rPr>
            </w:pPr>
            <w:r>
              <w:rPr>
                <w:rFonts w:ascii="仿宋" w:hAnsi="仿宋" w:eastAsia="仿宋"/>
                <w:color w:val="auto"/>
                <w:sz w:val="24"/>
                <w:highlight w:val="none"/>
              </w:rPr>
              <w:t xml:space="preserve">序号</w:t>
            </w:r>
            <w:r/>
          </w:p>
        </w:tc>
        <w:tc>
          <w:tcPr>
            <w:tcW w:w="2059" w:type="dxa"/>
            <w:vAlign w:val="center"/>
            <w:textDirection w:val="lrTb"/>
            <w:noWrap/>
          </w:tcPr>
          <w:p>
            <w:pPr>
              <w:pStyle w:val="1108"/>
              <w:jc w:val="center"/>
              <w:rPr>
                <w:rFonts w:ascii="仿宋" w:hAnsi="仿宋" w:eastAsia="仿宋"/>
                <w:color w:val="auto"/>
                <w:sz w:val="24"/>
                <w:szCs w:val="24"/>
                <w:highlight w:val="none"/>
              </w:rPr>
            </w:pPr>
            <w:r>
              <w:rPr>
                <w:rFonts w:ascii="仿宋" w:hAnsi="仿宋" w:eastAsia="仿宋"/>
                <w:color w:val="auto"/>
                <w:sz w:val="24"/>
                <w:highlight w:val="none"/>
              </w:rPr>
              <w:t xml:space="preserve">服务分项名称</w:t>
            </w:r>
            <w:r/>
          </w:p>
        </w:tc>
        <w:tc>
          <w:tcPr>
            <w:tcW w:w="2114" w:type="dxa"/>
            <w:vAlign w:val="center"/>
            <w:textDirection w:val="lrTb"/>
            <w:noWrap/>
          </w:tcPr>
          <w:p>
            <w:pPr>
              <w:pStyle w:val="1108"/>
              <w:jc w:val="center"/>
              <w:rPr>
                <w:rFonts w:ascii="仿宋" w:hAnsi="仿宋" w:eastAsia="仿宋"/>
                <w:color w:val="auto"/>
                <w:sz w:val="24"/>
                <w:szCs w:val="24"/>
                <w:highlight w:val="none"/>
              </w:rPr>
            </w:pPr>
            <w:r>
              <w:rPr>
                <w:rFonts w:ascii="仿宋" w:hAnsi="仿宋" w:eastAsia="仿宋"/>
                <w:color w:val="auto"/>
                <w:sz w:val="24"/>
                <w:highlight w:val="none"/>
              </w:rPr>
              <w:t xml:space="preserve">参数</w:t>
            </w:r>
            <w:r/>
          </w:p>
        </w:tc>
        <w:tc>
          <w:tcPr>
            <w:tcW w:w="813" w:type="dxa"/>
            <w:vAlign w:val="center"/>
            <w:textDirection w:val="lrTb"/>
            <w:noWrap/>
          </w:tcPr>
          <w:p>
            <w:pPr>
              <w:pStyle w:val="1108"/>
              <w:jc w:val="center"/>
              <w:rPr>
                <w:rFonts w:ascii="仿宋" w:hAnsi="仿宋" w:eastAsia="仿宋"/>
                <w:color w:val="auto"/>
                <w:sz w:val="24"/>
                <w:szCs w:val="24"/>
                <w:highlight w:val="none"/>
              </w:rPr>
            </w:pPr>
            <w:r>
              <w:rPr>
                <w:rFonts w:ascii="仿宋" w:hAnsi="仿宋" w:eastAsia="仿宋"/>
                <w:color w:val="auto"/>
                <w:sz w:val="24"/>
                <w:highlight w:val="none"/>
              </w:rPr>
              <w:t xml:space="preserve">单价</w:t>
            </w:r>
            <w:r/>
          </w:p>
        </w:tc>
        <w:tc>
          <w:tcPr>
            <w:tcW w:w="734" w:type="dxa"/>
            <w:vAlign w:val="center"/>
            <w:textDirection w:val="lrTb"/>
            <w:noWrap/>
          </w:tcPr>
          <w:p>
            <w:pPr>
              <w:pStyle w:val="1108"/>
              <w:jc w:val="center"/>
              <w:rPr>
                <w:rFonts w:ascii="仿宋" w:hAnsi="仿宋" w:eastAsia="仿宋"/>
                <w:color w:val="auto"/>
                <w:sz w:val="24"/>
                <w:szCs w:val="24"/>
                <w:highlight w:val="none"/>
              </w:rPr>
            </w:pPr>
            <w:r>
              <w:rPr>
                <w:rFonts w:ascii="仿宋" w:hAnsi="仿宋" w:eastAsia="仿宋"/>
                <w:color w:val="auto"/>
                <w:sz w:val="24"/>
                <w:highlight w:val="none"/>
              </w:rPr>
              <w:t xml:space="preserve">数量</w:t>
            </w:r>
            <w:r/>
          </w:p>
        </w:tc>
        <w:tc>
          <w:tcPr>
            <w:tcW w:w="986" w:type="dxa"/>
            <w:vAlign w:val="center"/>
            <w:textDirection w:val="lrTb"/>
            <w:noWrap/>
          </w:tcPr>
          <w:p>
            <w:pPr>
              <w:pStyle w:val="1108"/>
              <w:jc w:val="center"/>
              <w:rPr>
                <w:rFonts w:ascii="仿宋" w:hAnsi="仿宋" w:eastAsia="仿宋"/>
                <w:color w:val="auto"/>
                <w:sz w:val="24"/>
                <w:szCs w:val="24"/>
                <w:highlight w:val="none"/>
              </w:rPr>
            </w:pPr>
            <w:r>
              <w:rPr>
                <w:rFonts w:ascii="仿宋" w:hAnsi="仿宋" w:eastAsia="仿宋"/>
                <w:color w:val="auto"/>
                <w:sz w:val="24"/>
                <w:highlight w:val="none"/>
              </w:rPr>
              <w:t xml:space="preserve">总价（元）</w:t>
            </w:r>
            <w:r/>
          </w:p>
        </w:tc>
        <w:tc>
          <w:tcPr>
            <w:tcW w:w="1747" w:type="dxa"/>
            <w:vAlign w:val="center"/>
            <w:textDirection w:val="lrTb"/>
            <w:noWrap/>
          </w:tcPr>
          <w:p>
            <w:pPr>
              <w:pStyle w:val="1108"/>
              <w:jc w:val="center"/>
              <w:rPr>
                <w:rFonts w:ascii="仿宋" w:hAnsi="仿宋" w:eastAsia="仿宋"/>
                <w:color w:val="auto"/>
                <w:sz w:val="24"/>
                <w:szCs w:val="24"/>
                <w:highlight w:val="none"/>
              </w:rPr>
            </w:pPr>
            <w:r>
              <w:rPr>
                <w:rFonts w:ascii="仿宋" w:hAnsi="仿宋" w:eastAsia="仿宋"/>
                <w:color w:val="auto"/>
                <w:sz w:val="24"/>
                <w:highlight w:val="none"/>
              </w:rPr>
              <w:t xml:space="preserve">备注</w:t>
            </w:r>
            <w:r/>
          </w:p>
        </w:tc>
      </w:tr>
      <w:tr>
        <w:trPr>
          <w:trHeight w:val="408"/>
        </w:trPr>
        <w:tc>
          <w:tcPr>
            <w:tcW w:w="74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2059"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211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813" w:type="dxa"/>
            <w:vAlign w:val="center"/>
            <w:textDirection w:val="lrTb"/>
            <w:noWrap/>
          </w:tcPr>
          <w:p>
            <w:pPr>
              <w:pStyle w:val="1108"/>
              <w:jc w:val="center"/>
              <w:rPr>
                <w:rFonts w:ascii="黑体" w:hAnsi="黑体" w:eastAsia="黑体"/>
                <w:color w:val="auto"/>
                <w:szCs w:val="21"/>
                <w:highlight w:val="none"/>
              </w:rPr>
            </w:pPr>
            <w:r>
              <w:rPr>
                <w:rFonts w:ascii="黑体" w:hAnsi="黑体" w:eastAsia="黑体"/>
                <w:color w:val="auto"/>
                <w:szCs w:val="21"/>
                <w:highlight w:val="none"/>
              </w:rPr>
            </w:r>
            <w:r/>
          </w:p>
        </w:tc>
        <w:tc>
          <w:tcPr>
            <w:tcW w:w="734" w:type="dxa"/>
            <w:vAlign w:val="center"/>
            <w:textDirection w:val="lrTb"/>
            <w:noWrap/>
          </w:tcPr>
          <w:p>
            <w:pPr>
              <w:pStyle w:val="1108"/>
              <w:jc w:val="center"/>
              <w:rPr>
                <w:rFonts w:ascii="黑体" w:hAnsi="黑体" w:eastAsia="黑体"/>
                <w:color w:val="auto"/>
                <w:szCs w:val="21"/>
                <w:highlight w:val="none"/>
              </w:rPr>
            </w:pPr>
            <w:r>
              <w:rPr>
                <w:rFonts w:ascii="黑体" w:hAnsi="黑体" w:eastAsia="黑体"/>
                <w:color w:val="auto"/>
                <w:szCs w:val="21"/>
                <w:highlight w:val="none"/>
              </w:rPr>
            </w:r>
            <w:r/>
          </w:p>
        </w:tc>
        <w:tc>
          <w:tcPr>
            <w:tcW w:w="986"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1747"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17"/>
        </w:trPr>
        <w:tc>
          <w:tcPr>
            <w:tcW w:w="74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2059"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211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813" w:type="dxa"/>
            <w:vAlign w:val="center"/>
            <w:textDirection w:val="lrTb"/>
            <w:noWrap/>
          </w:tcPr>
          <w:p>
            <w:pPr>
              <w:pStyle w:val="1108"/>
              <w:jc w:val="center"/>
              <w:rPr>
                <w:rFonts w:ascii="黑体" w:hAnsi="黑体" w:eastAsia="黑体"/>
                <w:color w:val="auto"/>
                <w:szCs w:val="21"/>
                <w:highlight w:val="none"/>
              </w:rPr>
            </w:pPr>
            <w:r>
              <w:rPr>
                <w:rFonts w:ascii="黑体" w:hAnsi="黑体" w:eastAsia="黑体"/>
                <w:color w:val="auto"/>
                <w:szCs w:val="21"/>
                <w:highlight w:val="none"/>
              </w:rPr>
            </w:r>
            <w:r/>
          </w:p>
        </w:tc>
        <w:tc>
          <w:tcPr>
            <w:tcW w:w="734" w:type="dxa"/>
            <w:vAlign w:val="center"/>
            <w:textDirection w:val="lrTb"/>
            <w:noWrap/>
          </w:tcPr>
          <w:p>
            <w:pPr>
              <w:pStyle w:val="1108"/>
              <w:jc w:val="center"/>
              <w:rPr>
                <w:rFonts w:ascii="黑体" w:hAnsi="黑体" w:eastAsia="黑体"/>
                <w:color w:val="auto"/>
                <w:szCs w:val="21"/>
                <w:highlight w:val="none"/>
              </w:rPr>
            </w:pPr>
            <w:r>
              <w:rPr>
                <w:rFonts w:ascii="黑体" w:hAnsi="黑体" w:eastAsia="黑体"/>
                <w:color w:val="auto"/>
                <w:szCs w:val="21"/>
                <w:highlight w:val="none"/>
              </w:rPr>
            </w:r>
            <w:r/>
          </w:p>
        </w:tc>
        <w:tc>
          <w:tcPr>
            <w:tcW w:w="986"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1747"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2059"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211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813" w:type="dxa"/>
            <w:vAlign w:val="center"/>
            <w:textDirection w:val="lrTb"/>
            <w:noWrap/>
          </w:tcPr>
          <w:p>
            <w:pPr>
              <w:pStyle w:val="1108"/>
              <w:jc w:val="center"/>
              <w:rPr>
                <w:rFonts w:ascii="黑体" w:hAnsi="黑体" w:eastAsia="黑体"/>
                <w:color w:val="auto"/>
                <w:szCs w:val="21"/>
                <w:highlight w:val="none"/>
              </w:rPr>
            </w:pPr>
            <w:r>
              <w:rPr>
                <w:rFonts w:ascii="黑体" w:hAnsi="黑体" w:eastAsia="黑体"/>
                <w:color w:val="auto"/>
                <w:szCs w:val="21"/>
                <w:highlight w:val="none"/>
              </w:rPr>
            </w:r>
            <w:r/>
          </w:p>
        </w:tc>
        <w:tc>
          <w:tcPr>
            <w:tcW w:w="734" w:type="dxa"/>
            <w:vAlign w:val="center"/>
            <w:textDirection w:val="lrTb"/>
            <w:noWrap/>
          </w:tcPr>
          <w:p>
            <w:pPr>
              <w:pStyle w:val="1108"/>
              <w:jc w:val="center"/>
              <w:rPr>
                <w:rFonts w:ascii="黑体" w:hAnsi="黑体" w:eastAsia="黑体"/>
                <w:color w:val="auto"/>
                <w:szCs w:val="21"/>
                <w:highlight w:val="none"/>
              </w:rPr>
            </w:pPr>
            <w:r>
              <w:rPr>
                <w:rFonts w:ascii="黑体" w:hAnsi="黑体" w:eastAsia="黑体"/>
                <w:color w:val="auto"/>
                <w:szCs w:val="21"/>
                <w:highlight w:val="none"/>
              </w:rPr>
            </w:r>
            <w:r/>
          </w:p>
        </w:tc>
        <w:tc>
          <w:tcPr>
            <w:tcW w:w="986"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1747"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2059"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211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813" w:type="dxa"/>
            <w:vAlign w:val="center"/>
            <w:textDirection w:val="lrTb"/>
            <w:noWrap/>
          </w:tcPr>
          <w:p>
            <w:pPr>
              <w:pStyle w:val="1108"/>
              <w:jc w:val="center"/>
              <w:rPr>
                <w:rFonts w:ascii="黑体" w:hAnsi="黑体" w:eastAsia="黑体"/>
                <w:color w:val="auto"/>
                <w:szCs w:val="21"/>
                <w:highlight w:val="none"/>
              </w:rPr>
            </w:pPr>
            <w:r>
              <w:rPr>
                <w:rFonts w:ascii="黑体" w:hAnsi="黑体" w:eastAsia="黑体"/>
                <w:color w:val="auto"/>
                <w:szCs w:val="21"/>
                <w:highlight w:val="none"/>
              </w:rPr>
            </w:r>
            <w:r/>
          </w:p>
        </w:tc>
        <w:tc>
          <w:tcPr>
            <w:tcW w:w="734" w:type="dxa"/>
            <w:vAlign w:val="center"/>
            <w:textDirection w:val="lrTb"/>
            <w:noWrap/>
          </w:tcPr>
          <w:p>
            <w:pPr>
              <w:pStyle w:val="1108"/>
              <w:jc w:val="center"/>
              <w:rPr>
                <w:rFonts w:ascii="黑体" w:hAnsi="黑体" w:eastAsia="黑体"/>
                <w:color w:val="auto"/>
                <w:szCs w:val="21"/>
                <w:highlight w:val="none"/>
              </w:rPr>
            </w:pPr>
            <w:r>
              <w:rPr>
                <w:rFonts w:ascii="黑体" w:hAnsi="黑体" w:eastAsia="黑体"/>
                <w:color w:val="auto"/>
                <w:szCs w:val="21"/>
                <w:highlight w:val="none"/>
              </w:rPr>
            </w:r>
            <w:r/>
          </w:p>
        </w:tc>
        <w:tc>
          <w:tcPr>
            <w:tcW w:w="986"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1747"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2059"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211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81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734" w:type="dxa"/>
            <w:vAlign w:val="center"/>
            <w:textDirection w:val="lrTb"/>
            <w:noWrap/>
          </w:tcPr>
          <w:p>
            <w:pPr>
              <w:pStyle w:val="1108"/>
              <w:jc w:val="center"/>
              <w:rPr>
                <w:rFonts w:ascii="黑体" w:hAnsi="黑体" w:eastAsia="黑体"/>
                <w:color w:val="auto"/>
                <w:szCs w:val="21"/>
                <w:highlight w:val="none"/>
              </w:rPr>
            </w:pPr>
            <w:r>
              <w:rPr>
                <w:rFonts w:ascii="仿宋" w:hAnsi="仿宋" w:eastAsia="仿宋"/>
                <w:color w:val="auto"/>
                <w:szCs w:val="21"/>
                <w:highlight w:val="none"/>
              </w:rPr>
              <w:t xml:space="preserve">……</w:t>
            </w:r>
            <w:r/>
          </w:p>
        </w:tc>
        <w:tc>
          <w:tcPr>
            <w:tcW w:w="986"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1747"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2059"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211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81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73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986"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1747"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2059"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t xml:space="preserve">合计</w:t>
            </w:r>
            <w:r/>
          </w:p>
        </w:tc>
        <w:tc>
          <w:tcPr>
            <w:tcW w:w="211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813"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734"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986"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c>
          <w:tcPr>
            <w:tcW w:w="1747" w:type="dxa"/>
            <w:vAlign w:val="center"/>
            <w:textDirection w:val="lrTb"/>
            <w:noWrap/>
          </w:tcPr>
          <w:p>
            <w:pPr>
              <w:pStyle w:val="1108"/>
              <w:jc w:val="center"/>
              <w:rPr>
                <w:rFonts w:ascii="仿宋" w:hAnsi="仿宋" w:eastAsia="仿宋"/>
                <w:color w:val="auto"/>
                <w:szCs w:val="21"/>
                <w:highlight w:val="none"/>
              </w:rPr>
            </w:pPr>
            <w:r>
              <w:rPr>
                <w:rFonts w:ascii="仿宋" w:hAnsi="仿宋" w:eastAsia="仿宋"/>
                <w:color w:val="auto"/>
                <w:szCs w:val="21"/>
                <w:highlight w:val="none"/>
              </w:rPr>
            </w:r>
            <w:r/>
          </w:p>
        </w:tc>
      </w:tr>
    </w:tbl>
    <w:p>
      <w:pPr>
        <w:pStyle w:val="1108"/>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w:t>
      </w:r>
      <w:r>
        <w:rPr>
          <w:rFonts w:hint="eastAsia" w:ascii="仿宋" w:hAnsi="仿宋" w:eastAsia="仿宋"/>
          <w:color w:val="auto"/>
          <w:spacing w:val="20"/>
          <w:sz w:val="24"/>
          <w:highlight w:val="none"/>
        </w:rPr>
        <w:t xml:space="preserve">首</w:t>
      </w:r>
      <w:r>
        <w:rPr>
          <w:rFonts w:ascii="仿宋" w:hAnsi="仿宋" w:eastAsia="仿宋"/>
          <w:color w:val="auto"/>
          <w:spacing w:val="20"/>
          <w:sz w:val="24"/>
          <w:highlight w:val="none"/>
        </w:rPr>
        <w:t xml:space="preserve">轮报价一览表》中的“服务费”相等，其他服务类别仅报出单价不作汇总。2、如以上表格填写不适用，可根据项目特点自行编写。</w:t>
      </w:r>
      <w:r/>
    </w:p>
    <w:p>
      <w:pPr>
        <w:pStyle w:val="1108"/>
        <w:rPr>
          <w:rFonts w:ascii="仿宋" w:hAnsi="仿宋" w:eastAsia="仿宋"/>
          <w:bCs/>
          <w:color w:val="auto"/>
          <w:sz w:val="24"/>
          <w:highlight w:val="none"/>
        </w:rPr>
      </w:pPr>
      <w:r>
        <w:rPr>
          <w:rFonts w:ascii="仿宋" w:hAnsi="仿宋" w:eastAsia="仿宋"/>
          <w:bCs/>
          <w:color w:val="auto"/>
          <w:sz w:val="24"/>
          <w:highlight w:val="none"/>
        </w:rPr>
      </w:r>
      <w:r/>
    </w:p>
    <w:p>
      <w:pPr>
        <w:pStyle w:val="1108"/>
        <w:rPr>
          <w:rFonts w:ascii="仿宋" w:hAnsi="仿宋" w:eastAsia="仿宋"/>
          <w:bCs/>
          <w:color w:val="auto"/>
          <w:sz w:val="24"/>
          <w:highlight w:val="none"/>
        </w:rPr>
      </w:pPr>
      <w:r>
        <w:rPr>
          <w:rFonts w:ascii="仿宋" w:hAnsi="仿宋" w:eastAsia="仿宋"/>
          <w:bCs/>
          <w:color w:val="auto"/>
          <w:sz w:val="24"/>
          <w:highlight w:val="none"/>
        </w:rPr>
      </w:r>
      <w:r/>
    </w:p>
    <w:p>
      <w:pPr>
        <w:pStyle w:val="1108"/>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108"/>
        <w:rPr>
          <w:rFonts w:ascii="仿宋" w:hAnsi="仿宋" w:eastAsia="仿宋"/>
          <w:color w:val="auto"/>
          <w:sz w:val="24"/>
          <w:highlight w:val="none"/>
        </w:rPr>
      </w:pPr>
      <w:r>
        <w:rPr>
          <w:rFonts w:ascii="仿宋" w:hAnsi="仿宋" w:eastAsia="仿宋"/>
          <w:color w:val="auto"/>
          <w:sz w:val="24"/>
          <w:highlight w:val="none"/>
        </w:rPr>
      </w:r>
      <w:r/>
    </w:p>
    <w:p>
      <w:pPr>
        <w:pStyle w:val="1108"/>
        <w:rPr>
          <w:rFonts w:ascii="仿宋" w:hAnsi="仿宋" w:eastAsia="仿宋"/>
          <w:color w:val="auto"/>
          <w:sz w:val="24"/>
          <w:highlight w:val="none"/>
        </w:rPr>
      </w:pPr>
      <w:r>
        <w:rPr>
          <w:rFonts w:ascii="仿宋" w:hAnsi="仿宋" w:eastAsia="仿宋"/>
          <w:color w:val="auto"/>
          <w:sz w:val="24"/>
          <w:highlight w:val="none"/>
        </w:rPr>
      </w:r>
      <w:r/>
    </w:p>
    <w:p>
      <w:pPr>
        <w:pStyle w:val="1108"/>
        <w:rPr>
          <w:rFonts w:ascii="仿宋" w:hAnsi="仿宋" w:eastAsia="仿宋"/>
          <w:color w:val="auto"/>
          <w:sz w:val="24"/>
          <w:highlight w:val="none"/>
        </w:rPr>
      </w:pPr>
      <w:r>
        <w:rPr>
          <w:rFonts w:ascii="仿宋" w:hAnsi="仿宋" w:eastAsia="仿宋"/>
          <w:color w:val="auto"/>
          <w:sz w:val="24"/>
          <w:highlight w:val="none"/>
        </w:rPr>
      </w:r>
      <w:r/>
    </w:p>
    <w:p>
      <w:pPr>
        <w:pStyle w:val="1108"/>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109"/>
        <w:rPr>
          <w:rFonts w:ascii="仿宋" w:hAnsi="仿宋" w:eastAsia="仿宋"/>
          <w:color w:val="auto"/>
          <w:highlight w:val="none"/>
        </w:rPr>
      </w:pPr>
      <w:r>
        <w:rPr>
          <w:rFonts w:ascii="仿宋" w:hAnsi="仿宋" w:eastAsia="仿宋"/>
          <w:color w:val="auto"/>
          <w:highlight w:val="none"/>
        </w:rPr>
      </w:r>
      <w:r/>
    </w:p>
    <w:p>
      <w:pPr>
        <w:pStyle w:val="1108"/>
        <w:rPr>
          <w:rFonts w:ascii="仿宋" w:hAnsi="仿宋" w:eastAsia="仿宋"/>
          <w:color w:val="auto"/>
          <w:sz w:val="24"/>
          <w:highlight w:val="none"/>
        </w:rPr>
      </w:pPr>
      <w:r>
        <w:rPr>
          <w:rFonts w:ascii="仿宋" w:hAnsi="仿宋" w:eastAsia="仿宋"/>
          <w:color w:val="auto"/>
          <w:sz w:val="24"/>
          <w:highlight w:val="none"/>
        </w:rPr>
      </w:r>
      <w:r/>
    </w:p>
    <w:p>
      <w:pPr>
        <w:pStyle w:val="1109"/>
        <w:rPr>
          <w:rFonts w:ascii="仿宋" w:hAnsi="仿宋" w:eastAsia="仿宋"/>
          <w:color w:val="auto"/>
          <w:highlight w:val="none"/>
        </w:rPr>
      </w:pPr>
      <w:r>
        <w:rPr>
          <w:rFonts w:ascii="仿宋" w:hAnsi="仿宋" w:eastAsia="仿宋"/>
          <w:color w:val="auto"/>
          <w:highlight w:val="none"/>
        </w:rPr>
      </w:r>
      <w:r/>
    </w:p>
    <w:p>
      <w:pPr>
        <w:pStyle w:val="1108"/>
        <w:rPr>
          <w:rFonts w:ascii="仿宋" w:hAnsi="仿宋" w:eastAsia="仿宋"/>
          <w:color w:val="auto"/>
          <w:sz w:val="24"/>
          <w:highlight w:val="none"/>
        </w:rPr>
      </w:pPr>
      <w:r>
        <w:rPr>
          <w:rFonts w:ascii="仿宋" w:hAnsi="仿宋" w:eastAsia="仿宋"/>
          <w:color w:val="auto"/>
          <w:sz w:val="24"/>
          <w:highlight w:val="none"/>
        </w:rPr>
      </w:r>
      <w:r/>
    </w:p>
    <w:p>
      <w:pPr>
        <w:pStyle w:val="1109"/>
        <w:rPr>
          <w:rFonts w:ascii="仿宋" w:hAnsi="仿宋" w:eastAsia="仿宋"/>
          <w:color w:val="auto"/>
          <w:highlight w:val="none"/>
        </w:rPr>
      </w:pPr>
      <w:r>
        <w:rPr>
          <w:rFonts w:ascii="仿宋" w:hAnsi="仿宋" w:eastAsia="仿宋"/>
          <w:color w:val="auto"/>
          <w:highlight w:val="none"/>
        </w:rPr>
      </w:r>
      <w:r/>
    </w:p>
    <w:p>
      <w:pPr>
        <w:pStyle w:val="1108"/>
        <w:rPr>
          <w:color w:val="auto"/>
          <w:highlight w:val="none"/>
        </w:rPr>
      </w:pPr>
      <w:r>
        <w:rPr>
          <w:color w:val="auto"/>
          <w:highlight w:val="none"/>
        </w:rPr>
      </w:r>
      <w:r/>
    </w:p>
    <w:p>
      <w:pPr>
        <w:pStyle w:val="1108"/>
        <w:rPr>
          <w:rFonts w:ascii="仿宋" w:hAnsi="仿宋" w:eastAsia="仿宋"/>
          <w:color w:val="auto"/>
          <w:sz w:val="24"/>
          <w:highlight w:val="none"/>
        </w:rPr>
      </w:pPr>
      <w:r>
        <w:rPr>
          <w:rFonts w:ascii="仿宋" w:hAnsi="仿宋" w:eastAsia="仿宋"/>
          <w:color w:val="auto"/>
          <w:sz w:val="24"/>
          <w:highlight w:val="none"/>
        </w:rPr>
      </w:r>
      <w:r/>
    </w:p>
    <w:p>
      <w:pPr>
        <w:pStyle w:val="1109"/>
        <w:rPr>
          <w:rFonts w:ascii="仿宋" w:hAnsi="仿宋" w:eastAsia="仿宋"/>
          <w:color w:val="auto"/>
          <w:highlight w:val="none"/>
        </w:rPr>
      </w:pPr>
      <w:r>
        <w:rPr>
          <w:rFonts w:ascii="仿宋" w:hAnsi="仿宋" w:eastAsia="仿宋"/>
          <w:color w:val="auto"/>
          <w:highlight w:val="none"/>
        </w:rPr>
      </w:r>
      <w:r/>
    </w:p>
    <w:p>
      <w:pPr>
        <w:pStyle w:val="1108"/>
        <w:rPr>
          <w:color w:val="auto"/>
          <w:highlight w:val="none"/>
        </w:rPr>
      </w:pPr>
      <w:r>
        <w:rPr>
          <w:color w:val="auto"/>
          <w:highlight w:val="none"/>
        </w:rPr>
      </w:r>
      <w:r/>
    </w:p>
    <w:p>
      <w:pPr>
        <w:pStyle w:val="1108"/>
        <w:rPr>
          <w:color w:val="auto"/>
          <w:highlight w:val="none"/>
        </w:rPr>
      </w:pPr>
      <w:r>
        <w:rPr>
          <w:color w:val="auto"/>
          <w:highlight w:val="none"/>
        </w:rPr>
      </w:r>
      <w:r/>
    </w:p>
    <w:p>
      <w:pPr>
        <w:pStyle w:val="1109"/>
        <w:rPr>
          <w:color w:val="auto"/>
          <w:highlight w:val="none"/>
        </w:rPr>
      </w:pPr>
      <w:r>
        <w:rPr>
          <w:color w:val="auto"/>
          <w:highlight w:val="none"/>
        </w:rPr>
      </w:r>
      <w:r/>
    </w:p>
    <w:p>
      <w:pPr>
        <w:pStyle w:val="1109"/>
        <w:rPr>
          <w:color w:val="auto"/>
          <w:highlight w:val="none"/>
        </w:rPr>
      </w:pPr>
      <w:r>
        <w:rPr>
          <w:color w:val="auto"/>
          <w:highlight w:val="none"/>
        </w:rPr>
      </w:r>
      <w:r/>
    </w:p>
    <w:p>
      <w:pPr>
        <w:pStyle w:val="1369"/>
        <w:numPr>
          <w:ilvl w:val="2"/>
          <w:numId w:val="8"/>
        </w:numPr>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108"/>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903"/>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项目名称</w:t>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提交时间</w:t>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委托单位</w:t>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c>
          <w:tcPr>
            <w:gridSpan w:val="4"/>
            <w:tcW w:w="8222" w:type="dxa"/>
            <w:vAlign w:val="center"/>
            <w:textDirection w:val="lrTb"/>
            <w:noWrap/>
          </w:tcPr>
          <w:p>
            <w:pPr>
              <w:pStyle w:val="1108"/>
              <w:jc w:val="left"/>
              <w:rPr>
                <w:rFonts w:ascii="仿宋" w:hAnsi="仿宋" w:eastAsia="仿宋"/>
                <w:color w:val="auto"/>
                <w:sz w:val="24"/>
                <w:highlight w:val="none"/>
              </w:rPr>
            </w:pPr>
            <w:r>
              <w:rPr>
                <w:rFonts w:ascii="仿宋" w:hAnsi="仿宋" w:eastAsia="仿宋"/>
                <w:color w:val="auto"/>
                <w:sz w:val="24"/>
                <w:highlight w:val="none"/>
              </w:rPr>
              <w:t xml:space="preserve">附件材料按招标文件资审条件或评分标准提供、其他认为必须的证明材料。</w:t>
            </w:r>
            <w:r/>
          </w:p>
        </w:tc>
      </w:tr>
    </w:tbl>
    <w:p>
      <w:pPr>
        <w:pStyle w:val="1108"/>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108"/>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8"/>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8"/>
        <w:rPr>
          <w:rFonts w:ascii="仿宋" w:hAnsi="仿宋" w:eastAsia="仿宋"/>
          <w:color w:val="auto"/>
          <w:sz w:val="24"/>
          <w:highlight w:val="none"/>
        </w:rPr>
      </w:pPr>
      <w:r>
        <w:rPr>
          <w:rFonts w:ascii="仿宋" w:hAnsi="仿宋" w:eastAsia="仿宋"/>
          <w:color w:val="auto"/>
          <w:sz w:val="24"/>
          <w:highlight w:val="none"/>
        </w:rPr>
      </w:r>
      <w:r/>
    </w:p>
    <w:p>
      <w:pPr>
        <w:pStyle w:val="1108"/>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08"/>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109"/>
        <w:rPr>
          <w:color w:val="auto"/>
          <w:highlight w:val="none"/>
        </w:rPr>
      </w:pPr>
      <w:r>
        <w:rPr>
          <w:color w:val="auto"/>
          <w:highlight w:val="none"/>
        </w:rPr>
      </w:r>
      <w:r/>
    </w:p>
    <w:p>
      <w:pPr>
        <w:pStyle w:val="1108"/>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2、供应商其他证明文件及材料（要求见磋商文件第十二章《评标办法》）</w:t>
      </w:r>
      <w:r/>
    </w:p>
    <w:p>
      <w:pPr>
        <w:pStyle w:val="1109"/>
        <w:rPr>
          <w:color w:val="auto"/>
          <w:highlight w:val="none"/>
        </w:rPr>
      </w:pPr>
      <w:r>
        <w:rPr>
          <w:color w:val="auto"/>
          <w:highlight w:val="none"/>
        </w:rPr>
      </w:r>
      <w:r/>
    </w:p>
    <w:p>
      <w:pPr>
        <w:pStyle w:val="1369"/>
        <w:ind w:firstLine="632"/>
        <w:jc w:val="center"/>
        <w:rPr>
          <w:rFonts w:ascii="Arial" w:hAnsi="Arial" w:eastAsia="仿宋_GB2312"/>
          <w:bCs w:val="0"/>
          <w:color w:val="auto"/>
          <w:sz w:val="28"/>
          <w:szCs w:val="28"/>
          <w:highlight w:val="none"/>
        </w:rPr>
      </w:pPr>
      <w:r/>
      <w:bookmarkStart w:id="123" w:name="_Toc302967420"/>
      <w:r>
        <w:rPr>
          <w:rFonts w:hint="eastAsia" w:ascii="Arial" w:hAnsi="Arial" w:eastAsia="仿宋_GB2312"/>
          <w:bCs w:val="0"/>
          <w:color w:val="auto"/>
          <w:sz w:val="28"/>
          <w:szCs w:val="28"/>
          <w:highlight w:val="none"/>
        </w:rPr>
        <w:t xml:space="preserve">（三）技术部分</w:t>
      </w:r>
      <w:r/>
    </w:p>
    <w:p>
      <w:pPr>
        <w:pStyle w:val="1369"/>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w:t>
      </w:r>
      <w:bookmarkEnd w:id="123"/>
      <w:r>
        <w:rPr>
          <w:rFonts w:hint="eastAsia" w:ascii="Arial" w:hAnsi="Arial" w:eastAsia="仿宋_GB2312"/>
          <w:bCs w:val="0"/>
          <w:color w:val="auto"/>
          <w:sz w:val="28"/>
          <w:szCs w:val="28"/>
          <w:highlight w:val="none"/>
        </w:rPr>
        <w:t xml:space="preserve">响应服务清单</w:t>
      </w:r>
      <w:r>
        <w:rPr>
          <w:rFonts w:ascii="Arial" w:hAnsi="Arial" w:eastAsia="仿宋_GB2312"/>
          <w:bCs w:val="0"/>
          <w:color w:val="auto"/>
          <w:sz w:val="28"/>
          <w:szCs w:val="28"/>
          <w:highlight w:val="none"/>
        </w:rPr>
        <w:t xml:space="preserve">（若有）</w:t>
      </w:r>
      <w:r/>
    </w:p>
    <w:p>
      <w:pPr>
        <w:pStyle w:val="1370"/>
        <w:rPr>
          <w:rFonts w:ascii="仿宋" w:hAnsi="仿宋" w:eastAsia="仿宋"/>
          <w:color w:val="auto"/>
          <w:sz w:val="24"/>
          <w:szCs w:val="24"/>
          <w:highlight w:val="none"/>
          <w:u w:val="single"/>
        </w:rPr>
      </w:pPr>
      <w:r>
        <w:rPr>
          <w:rFonts w:hint="eastAsia" w:ascii="仿宋" w:hAnsi="仿宋" w:eastAsia="仿宋" w:cs="仿宋"/>
          <w:color w:val="auto"/>
          <w:sz w:val="24"/>
          <w:highlight w:val="none"/>
          <w:lang w:eastAsia="zh-CN"/>
        </w:rPr>
        <w:t xml:space="preserve">项目</w:t>
      </w:r>
      <w:r>
        <w:rPr>
          <w:rFonts w:ascii="仿宋" w:hAnsi="仿宋" w:eastAsia="仿宋"/>
          <w:color w:val="auto"/>
          <w:sz w:val="24"/>
          <w:szCs w:val="24"/>
          <w:highlight w:val="none"/>
        </w:rPr>
        <w:t xml:space="preserve">编号：</w:t>
      </w:r>
      <w:r/>
    </w:p>
    <w:tbl>
      <w:tblPr>
        <w:tblStyle w:val="903"/>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108"/>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1440" w:type="dxa"/>
            <w:vAlign w:val="center"/>
            <w:textDirection w:val="lrTb"/>
            <w:noWrap/>
          </w:tcPr>
          <w:p>
            <w:pPr>
              <w:pStyle w:val="1108"/>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服务名称</w:t>
            </w:r>
            <w:r/>
          </w:p>
        </w:tc>
        <w:tc>
          <w:tcPr>
            <w:tcW w:w="7054" w:type="dxa"/>
            <w:vAlign w:val="center"/>
            <w:textDirection w:val="lrTb"/>
            <w:noWrap/>
          </w:tcPr>
          <w:p>
            <w:pPr>
              <w:pStyle w:val="1108"/>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技术指标</w:t>
            </w:r>
            <w:r/>
          </w:p>
        </w:tc>
      </w:tr>
      <w:tr>
        <w:trPr>
          <w:trHeight w:val="930"/>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756"/>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5</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6</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7</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8</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9</w:t>
            </w:r>
            <w:r/>
          </w:p>
        </w:tc>
        <w:tc>
          <w:tcPr>
            <w:tcW w:w="1440"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lang w:val="zh-CN"/>
              </w:rPr>
              <w:t xml:space="preserve">……</w:t>
            </w:r>
            <w:r/>
          </w:p>
        </w:tc>
        <w:tc>
          <w:tcPr>
            <w:tcW w:w="7054" w:type="dxa"/>
            <w:vAlign w:val="center"/>
            <w:textDirection w:val="lrTb"/>
            <w:noWrap/>
          </w:tcPr>
          <w:p>
            <w:pPr>
              <w:pStyle w:val="1108"/>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bl>
    <w:p>
      <w:pPr>
        <w:pStyle w:val="1108"/>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108"/>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108"/>
        <w:spacing w:before="120"/>
        <w:rPr>
          <w:rFonts w:ascii="仿宋" w:hAnsi="仿宋" w:eastAsia="仿宋"/>
          <w:color w:val="auto"/>
          <w:sz w:val="24"/>
          <w:highlight w:val="none"/>
        </w:rPr>
      </w:pPr>
      <w:r>
        <w:rPr>
          <w:rFonts w:ascii="仿宋" w:hAnsi="仿宋" w:eastAsia="仿宋"/>
          <w:color w:val="auto"/>
          <w:sz w:val="24"/>
          <w:highlight w:val="none"/>
        </w:rPr>
      </w:r>
      <w:r/>
    </w:p>
    <w:p>
      <w:pPr>
        <w:pStyle w:val="1108"/>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8"/>
        <w:spacing w:before="120"/>
        <w:rPr>
          <w:rFonts w:ascii="仿宋" w:hAnsi="仿宋" w:eastAsia="仿宋"/>
          <w:color w:val="auto"/>
          <w:sz w:val="24"/>
          <w:highlight w:val="none"/>
        </w:rPr>
      </w:pPr>
      <w:r>
        <w:rPr>
          <w:rFonts w:ascii="仿宋" w:hAnsi="仿宋" w:eastAsia="仿宋"/>
          <w:color w:val="auto"/>
          <w:sz w:val="24"/>
          <w:highlight w:val="none"/>
        </w:rPr>
      </w:r>
      <w:r/>
    </w:p>
    <w:p>
      <w:pPr>
        <w:pStyle w:val="1108"/>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108"/>
        <w:spacing w:before="120"/>
        <w:rPr>
          <w:rFonts w:ascii="仿宋" w:hAnsi="仿宋" w:eastAsia="仿宋"/>
          <w:color w:val="auto"/>
          <w:sz w:val="24"/>
          <w:highlight w:val="none"/>
        </w:rPr>
      </w:pPr>
      <w:r>
        <w:rPr>
          <w:rFonts w:ascii="仿宋" w:hAnsi="仿宋" w:eastAsia="仿宋"/>
          <w:color w:val="auto"/>
          <w:sz w:val="24"/>
          <w:highlight w:val="none"/>
        </w:rPr>
      </w:r>
      <w:r/>
    </w:p>
    <w:p>
      <w:pPr>
        <w:pStyle w:val="1108"/>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08"/>
        <w:jc w:val="center"/>
        <w:spacing w:line="600" w:lineRule="auto"/>
        <w:rPr>
          <w:rFonts w:ascii="Arial" w:hAnsi="Arial" w:eastAsia="仿宋_GB2312"/>
          <w:color w:val="auto"/>
          <w:szCs w:val="21"/>
          <w:highlight w:val="none"/>
        </w:rPr>
        <w:sectPr>
          <w:headerReference w:type="default" r:id="rId16"/>
          <w:footerReference w:type="default" r:id="rId26"/>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Cs w:val="21"/>
          <w:highlight w:val="none"/>
        </w:rPr>
      </w:r>
      <w:r/>
    </w:p>
    <w:p>
      <w:pPr>
        <w:pStyle w:val="1369"/>
        <w:ind w:firstLine="632"/>
        <w:jc w:val="center"/>
        <w:rPr>
          <w:rFonts w:ascii="Arial" w:hAnsi="Arial" w:eastAsia="仿宋_GB2312"/>
          <w:bCs w:val="0"/>
          <w:color w:val="auto"/>
          <w:sz w:val="28"/>
          <w:szCs w:val="28"/>
          <w:highlight w:val="none"/>
        </w:rPr>
      </w:pPr>
      <w:r>
        <w:rPr>
          <w:rFonts w:hint="eastAsia" w:ascii="Arial" w:hAnsi="Arial" w:eastAsia="仿宋_GB2312"/>
          <w:color w:val="auto"/>
          <w:highlight w:val="none"/>
        </w:rPr>
        <w:t xml:space="preserve">2、</w:t>
      </w:r>
      <w:r>
        <w:rPr>
          <w:rFonts w:ascii="Arial" w:hAnsi="Arial" w:eastAsia="仿宋_GB2312"/>
          <w:bCs w:val="0"/>
          <w:color w:val="auto"/>
          <w:sz w:val="28"/>
          <w:szCs w:val="28"/>
          <w:highlight w:val="none"/>
        </w:rPr>
        <w:t xml:space="preserve">项目实施人员（主要从业人员及其技术资格）一览表（如有）</w:t>
      </w:r>
      <w:r/>
    </w:p>
    <w:p>
      <w:pPr>
        <w:pStyle w:val="1370"/>
        <w:rPr>
          <w:rFonts w:ascii="仿宋" w:hAnsi="仿宋" w:eastAsia="仿宋"/>
          <w:color w:val="auto"/>
          <w:sz w:val="24"/>
          <w:szCs w:val="24"/>
          <w:highlight w:val="none"/>
          <w:u w:val="single"/>
        </w:rPr>
      </w:pPr>
      <w:r>
        <w:rPr>
          <w:rFonts w:hint="eastAsia" w:ascii="仿宋" w:hAnsi="仿宋" w:eastAsia="仿宋" w:cs="仿宋"/>
          <w:color w:val="auto"/>
          <w:sz w:val="24"/>
          <w:highlight w:val="none"/>
          <w:lang w:eastAsia="zh-CN"/>
        </w:rPr>
        <w:t xml:space="preserve">项目</w:t>
      </w:r>
      <w:r>
        <w:rPr>
          <w:rFonts w:ascii="仿宋" w:hAnsi="仿宋" w:eastAsia="仿宋"/>
          <w:color w:val="auto"/>
          <w:sz w:val="24"/>
          <w:szCs w:val="24"/>
          <w:highlight w:val="none"/>
        </w:rPr>
        <w:t xml:space="preserve">编号：</w:t>
      </w:r>
      <w:r/>
    </w:p>
    <w:tbl>
      <w:tblPr>
        <w:tblStyle w:val="903"/>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1276"/>
      </w:tblGrid>
      <w:tr>
        <w:trPr>
          <w:trHeight w:val="454"/>
        </w:trPr>
        <w:tc>
          <w:tcPr>
            <w:tcW w:w="709"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993"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姓名</w:t>
            </w:r>
            <w:r/>
          </w:p>
        </w:tc>
        <w:tc>
          <w:tcPr>
            <w:tcW w:w="141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职称</w:t>
            </w:r>
            <w:r/>
          </w:p>
        </w:tc>
        <w:tc>
          <w:tcPr>
            <w:tcW w:w="1417"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专业证书及方向</w:t>
            </w:r>
            <w:r/>
          </w:p>
        </w:tc>
        <w:tc>
          <w:tcPr>
            <w:tcW w:w="1135"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证书编号</w:t>
            </w:r>
            <w:r/>
          </w:p>
        </w:tc>
        <w:tc>
          <w:tcPr>
            <w:tcW w:w="1984"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本项目中拟任职</w:t>
            </w:r>
            <w:r/>
          </w:p>
        </w:tc>
        <w:tc>
          <w:tcPr>
            <w:tcW w:w="1276" w:type="dxa"/>
            <w:vAlign w:val="center"/>
            <w:textDirection w:val="lrTb"/>
            <w:noWrap/>
          </w:tcPr>
          <w:p>
            <w:pPr>
              <w:pStyle w:val="1108"/>
              <w:jc w:val="center"/>
              <w:rPr>
                <w:rFonts w:ascii="仿宋" w:hAnsi="仿宋" w:eastAsia="仿宋"/>
                <w:color w:val="auto"/>
                <w:sz w:val="24"/>
                <w:highlight w:val="none"/>
              </w:rPr>
            </w:pPr>
            <w:r>
              <w:rPr>
                <w:rFonts w:ascii="仿宋" w:hAnsi="仿宋" w:eastAsia="仿宋"/>
                <w:color w:val="auto"/>
                <w:sz w:val="24"/>
                <w:highlight w:val="none"/>
              </w:rPr>
              <w:t xml:space="preserve">其他</w:t>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2</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3</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4</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5</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6</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7</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8</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9</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10</w:t>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8"/>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1108"/>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108"/>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8"/>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8"/>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108"/>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8"/>
        <w:spacing w:before="50" w:after="50" w:line="460" w:lineRule="exact"/>
        <w:rPr>
          <w:rFonts w:ascii="仿宋" w:hAnsi="仿宋" w:eastAsia="仿宋"/>
          <w:color w:val="auto"/>
          <w:spacing w:val="20"/>
          <w:sz w:val="24"/>
          <w:highlight w:val="none"/>
          <w:u w:val="single"/>
        </w:rPr>
      </w:pPr>
      <w:r>
        <w:rPr>
          <w:rFonts w:ascii="仿宋" w:hAnsi="仿宋" w:eastAsia="仿宋"/>
          <w:color w:val="auto"/>
          <w:spacing w:val="20"/>
          <w:sz w:val="24"/>
          <w:highlight w:val="none"/>
        </w:rPr>
        <w:t xml:space="preserve">日  期：</w:t>
      </w:r>
      <w:r/>
    </w:p>
    <w:p>
      <w:pPr>
        <w:pStyle w:val="1108"/>
        <w:spacing w:before="50" w:after="50" w:line="460" w:lineRule="exact"/>
        <w:rPr>
          <w:rFonts w:ascii="Arial" w:hAnsi="Arial" w:eastAsia="仿宋_GB2312"/>
          <w:color w:val="auto"/>
          <w:highlight w:val="none"/>
        </w:rPr>
      </w:pPr>
      <w:r>
        <w:rPr>
          <w:rFonts w:ascii="Arial" w:hAnsi="Arial" w:eastAsia="仿宋_GB2312"/>
          <w:color w:val="auto"/>
          <w:highlight w:val="none"/>
        </w:rPr>
      </w:r>
      <w:r/>
    </w:p>
    <w:p>
      <w:pPr>
        <w:pStyle w:val="1108"/>
        <w:jc w:val="center"/>
        <w:spacing w:before="50" w:after="50" w:line="460" w:lineRule="exact"/>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3、项目实施方案（要求见招标文件第十二章《评标办法》）</w:t>
      </w:r>
      <w:r/>
    </w:p>
    <w:p>
      <w:pPr>
        <w:pStyle w:val="1369"/>
        <w:ind w:firstLine="632"/>
        <w:jc w:val="center"/>
        <w:rPr>
          <w:rFonts w:ascii="Arial" w:hAnsi="Arial" w:eastAsia="仿宋_GB2312"/>
          <w:color w:val="auto"/>
          <w:highlight w:val="none"/>
        </w:rPr>
      </w:pPr>
      <w:r>
        <w:rPr>
          <w:rFonts w:ascii="Arial" w:hAnsi="Arial" w:eastAsia="仿宋_GB2312"/>
          <w:color w:val="auto"/>
          <w:highlight w:val="none"/>
        </w:rPr>
      </w:r>
      <w:r/>
    </w:p>
    <w:p>
      <w:pPr>
        <w:pStyle w:val="1369"/>
        <w:ind w:firstLine="632"/>
        <w:jc w:val="center"/>
        <w:rPr>
          <w:rFonts w:ascii="Arial" w:hAnsi="Arial" w:eastAsia="仿宋_GB2312"/>
          <w:color w:val="auto"/>
          <w:highlight w:val="none"/>
          <w:lang w:val="zh-CN"/>
        </w:rPr>
      </w:pPr>
      <w:r>
        <w:rPr>
          <w:rFonts w:hint="eastAsia" w:ascii="Arial" w:hAnsi="Arial" w:eastAsia="仿宋_GB2312"/>
          <w:color w:val="auto"/>
          <w:highlight w:val="none"/>
        </w:rPr>
        <w:t xml:space="preserve">4、供应商认为需提供的其他资料（如有）</w:t>
      </w:r>
      <w:r>
        <w:rPr>
          <w:rFonts w:hint="eastAsia" w:ascii="Arial" w:hAnsi="Arial" w:eastAsia="仿宋_GB2312"/>
          <w:color w:val="auto"/>
          <w:highlight w:val="none"/>
          <w:lang w:val="zh-CN"/>
        </w:rPr>
        <w:t xml:space="preserve">（要求见</w:t>
      </w:r>
      <w:r>
        <w:rPr>
          <w:rFonts w:hint="eastAsia" w:ascii="Arial" w:hAnsi="Arial" w:eastAsia="仿宋_GB2312"/>
          <w:color w:val="auto"/>
          <w:highlight w:val="none"/>
        </w:rPr>
        <w:t xml:space="preserve">磋商</w:t>
      </w:r>
      <w:r>
        <w:rPr>
          <w:rFonts w:hint="eastAsia" w:ascii="Arial" w:hAnsi="Arial" w:eastAsia="仿宋_GB2312"/>
          <w:color w:val="auto"/>
          <w:highlight w:val="none"/>
          <w:lang w:val="zh-CN"/>
        </w:rPr>
        <w:t xml:space="preserve">文件第</w:t>
      </w:r>
      <w:r>
        <w:rPr>
          <w:rFonts w:hint="eastAsia" w:ascii="Arial" w:hAnsi="Arial" w:eastAsia="仿宋_GB2312"/>
          <w:color w:val="auto"/>
          <w:highlight w:val="none"/>
        </w:rPr>
        <w:t xml:space="preserve">十二</w:t>
      </w:r>
      <w:r>
        <w:rPr>
          <w:rFonts w:hint="eastAsia" w:ascii="Arial" w:hAnsi="Arial" w:eastAsia="仿宋_GB2312"/>
          <w:color w:val="auto"/>
          <w:highlight w:val="none"/>
          <w:lang w:val="zh-CN"/>
        </w:rPr>
        <w:t xml:space="preserve">章《评标</w:t>
      </w:r>
      <w:r>
        <w:rPr>
          <w:rFonts w:hint="eastAsia" w:ascii="Arial" w:hAnsi="Arial" w:eastAsia="仿宋_GB2312"/>
          <w:color w:val="auto"/>
          <w:highlight w:val="none"/>
        </w:rPr>
        <w:t xml:space="preserve">办法</w:t>
      </w:r>
      <w:r>
        <w:rPr>
          <w:rFonts w:hint="eastAsia" w:ascii="Arial" w:hAnsi="Arial" w:eastAsia="仿宋_GB2312"/>
          <w:color w:val="auto"/>
          <w:highlight w:val="none"/>
          <w:lang w:val="zh-CN"/>
        </w:rPr>
        <w:t xml:space="preserve">》）</w:t>
      </w:r>
      <w:r/>
    </w:p>
    <w:sectPr>
      <w:headerReference w:type="default" r:id="rId17"/>
      <w:footerReference w:type="default" r:id="rId27"/>
      <w:footnotePr/>
      <w:endnotePr/>
      <w:type w:val="nextPage"/>
      <w:pgSz w:w="11905" w:h="16838" w:orient="portrait"/>
      <w:pgMar w:top="1213" w:right="1417" w:bottom="1400"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华文行楷">
    <w:panose1 w:val="02010800040101010101"/>
  </w:font>
  <w:font w:name="楷体">
    <w:panose1 w:val="02010609060101010101"/>
  </w:font>
  <w:font w:name="Symbol">
    <w:panose1 w:val="05050102010706020507"/>
  </w:font>
  <w:font w:name="Wingdings">
    <w:panose1 w:val="05000000000000000000"/>
  </w:font>
  <w:font w:name="Century Schoolbook">
    <w:panose1 w:val="02040604050505020304"/>
  </w:font>
  <w:font w:name="楷体_GB2312">
    <w:panose1 w:val="02010609060101010101"/>
  </w:font>
  <w:font w:name="仿宋">
    <w:panose1 w:val="02010609060101010101"/>
  </w:font>
  <w:font w:name="MS Mincho">
    <w:panose1 w:val="02020603050405090304"/>
  </w:font>
  <w:font w:name="Tahoma">
    <w:panose1 w:val="020B060403050404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微软简标宋">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pPr>
    <w:r>
      <w:rPr>
        <w:rStyle w:val="1190"/>
      </w:rPr>
      <w:fldChar w:fldCharType="begin"/>
    </w:r>
    <w:r>
      <w:rPr>
        <w:rStyle w:val="1190"/>
      </w:rPr>
      <w:instrText xml:space="preserve"> PAGE </w:instrText>
    </w:r>
    <w:r>
      <w:rPr>
        <w:rStyle w:val="1190"/>
      </w:rPr>
      <w:fldChar w:fldCharType="separate"/>
    </w:r>
    <w:r>
      <w:rPr>
        <w:rStyle w:val="1190"/>
      </w:rPr>
      <w:t xml:space="preserve">35</w:t>
    </w:r>
    <w:r>
      <w:rPr>
        <w:rStyle w:val="1190"/>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3"/>
      <w:jc w:val="center"/>
    </w:pPr>
    <w:r>
      <w:rPr>
        <w:rStyle w:val="1248"/>
      </w:rPr>
      <w:fldChar w:fldCharType="begin"/>
    </w:r>
    <w:r>
      <w:rPr>
        <w:rStyle w:val="1248"/>
      </w:rPr>
      <w:instrText xml:space="preserve"> PAGE </w:instrText>
    </w:r>
    <w:r>
      <w:rPr>
        <w:rStyle w:val="1248"/>
      </w:rPr>
      <w:fldChar w:fldCharType="separate"/>
    </w:r>
    <w:r>
      <w:rPr>
        <w:rStyle w:val="1248"/>
      </w:rPr>
      <w:t xml:space="preserve">59</w:t>
    </w:r>
    <w:r>
      <w:rPr>
        <w:rStyle w:val="1248"/>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3"/>
      <w:rPr>
        <w:rStyle w:val="1248"/>
      </w:rPr>
      <w:framePr w:wrap="around" w:vAnchor="text" w:hAnchor="margin" w:xAlign="right" w:y="1"/>
    </w:pPr>
    <w:r>
      <w:rPr>
        <w:rStyle w:val="1248"/>
      </w:rPr>
      <w:fldChar w:fldCharType="begin"/>
    </w:r>
    <w:r>
      <w:rPr>
        <w:rStyle w:val="1248"/>
      </w:rPr>
      <w:instrText xml:space="preserve">PAGE  </w:instrText>
    </w:r>
    <w:r>
      <w:rPr>
        <w:rStyle w:val="1248"/>
      </w:rPr>
      <w:fldChar w:fldCharType="separate"/>
    </w:r>
    <w:r>
      <w:rPr>
        <w:rStyle w:val="1248"/>
      </w:rPr>
      <w:t xml:space="preserve">13</w:t>
    </w:r>
    <w:r>
      <w:rPr>
        <w:rStyle w:val="1248"/>
      </w:rPr>
      <w:fldChar w:fldCharType="end"/>
    </w:r>
    <w:r/>
  </w:p>
  <w:p>
    <w:pPr>
      <w:pStyle w:val="137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pPr>
    <w:r>
      <w:fldChar w:fldCharType="begin"/>
    </w:r>
    <w:r>
      <w:rPr>
        <w:rStyle w:val="1190"/>
      </w:rPr>
      <w:instrText xml:space="preserve"> PAGE </w:instrText>
    </w:r>
    <w:r>
      <w:fldChar w:fldCharType="separate"/>
    </w:r>
    <w:r>
      <w:rPr>
        <w:rStyle w:val="1190"/>
      </w:rPr>
      <w:t xml:space="preserve">47</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rPr>
        <w:rStyle w:val="1190"/>
      </w:rPr>
      <w:framePr w:wrap="around" w:vAnchor="text" w:hAnchor="margin" w:xAlign="right" w:y="1"/>
    </w:pPr>
    <w:r>
      <w:fldChar w:fldCharType="begin"/>
    </w:r>
    <w:r>
      <w:rPr>
        <w:rStyle w:val="1190"/>
      </w:rPr>
      <w:instrText xml:space="preserve">PAGE  </w:instrText>
    </w:r>
    <w:r>
      <w:fldChar w:fldCharType="separate"/>
    </w:r>
    <w:r>
      <w:rPr>
        <w:rStyle w:val="1190"/>
      </w:rPr>
      <w:t xml:space="preserve">13</w:t>
    </w:r>
    <w:r>
      <w:fldChar w:fldCharType="end"/>
    </w:r>
    <w:r/>
  </w:p>
  <w:p>
    <w:pPr>
      <w:pStyle w:val="1164"/>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3"/>
      <w:jc w:val="center"/>
    </w:pPr>
    <w:r>
      <w:fldChar w:fldCharType="begin"/>
    </w:r>
    <w:r>
      <w:rPr>
        <w:rStyle w:val="1248"/>
      </w:rPr>
      <w:instrText xml:space="preserve"> PAGE </w:instrText>
    </w:r>
    <w:r>
      <w:fldChar w:fldCharType="separate"/>
    </w:r>
    <w:r>
      <w:rPr>
        <w:rStyle w:val="1248"/>
      </w:rPr>
      <w:t xml:space="preserve">63</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3"/>
      <w:jc w:val="center"/>
    </w:pPr>
    <w:r>
      <w:fldChar w:fldCharType="begin"/>
    </w:r>
    <w:r>
      <w:rPr>
        <w:rStyle w:val="1248"/>
      </w:rPr>
      <w:instrText xml:space="preserve"> PAGE </w:instrText>
    </w:r>
    <w:r>
      <w:fldChar w:fldCharType="separate"/>
    </w:r>
    <w:r>
      <w:rPr>
        <w:rStyle w:val="1248"/>
      </w:rPr>
      <w:t xml:space="preserve">67</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3"/>
      <w:jc w:val="center"/>
    </w:pPr>
    <w:r>
      <w:fldChar w:fldCharType="begin"/>
    </w:r>
    <w:r>
      <w:rPr>
        <w:rStyle w:val="1248"/>
      </w:rPr>
      <w:instrText xml:space="preserve"> PAGE </w:instrText>
    </w:r>
    <w:r>
      <w:fldChar w:fldCharType="separate"/>
    </w:r>
    <w:r>
      <w:rPr>
        <w:rStyle w:val="1248"/>
      </w:rPr>
      <w:t xml:space="preserve">55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w:rPr>
        <w:rFonts w:hint="eastAsia"/>
      </w:rPr>
      <w:t xml:space="preserve">江苏澄建正达工程项目管理有限公司招标代理文件CJ-CG-2025-049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Bdr>
        <w:bottom w:val="single" w:color="000000" w:sz="6" w:space="0"/>
      </w:pBdr>
    </w:pPr>
    <w:r>
      <w:rPr>
        <w:rFonts w:hint="eastAsia"/>
      </w:rPr>
      <w:t xml:space="preserve">江苏澄建正达工程项目管理有限公司招标代理文件CJ-CG-2025-049</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CJ-CG-2025-049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CJ-CG-2025-049</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pPr>
    <w:r>
      <w:rPr>
        <w:rFonts w:hint="eastAsia"/>
      </w:rPr>
      <w:t xml:space="preserve">江苏澄建正达工程项目管理有限公司</w:t>
    </w:r>
    <w:r>
      <w:t xml:space="preserve">招标代理文件</w:t>
    </w:r>
    <w:r>
      <w:rPr>
        <w:rFonts w:hint="eastAsia"/>
        <w:bCs/>
      </w:rPr>
      <w:t xml:space="preserve">CJ-CG-2025-049</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rPr>
        <w:rFonts w:ascii="仿宋_GB2312"/>
        <w:bCs/>
      </w:rPr>
    </w:pPr>
    <w:r>
      <w:rPr>
        <w:rFonts w:hint="eastAsia"/>
      </w:rPr>
      <w:t xml:space="preserve">江苏澄建正达工程项目管理有限公司</w:t>
    </w:r>
    <w:r>
      <w:t xml:space="preserve">招标代理文件</w:t>
    </w:r>
    <w:r>
      <w:rPr>
        <w:rFonts w:hint="eastAsia"/>
        <w:bCs/>
      </w:rPr>
      <w:t xml:space="preserve">CJ-CG-2025-049</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rPr>
        <w:rFonts w:ascii="仿宋_GB2312"/>
      </w:rPr>
    </w:pPr>
    <w:r>
      <w:rPr>
        <w:rFonts w:hint="eastAsia"/>
      </w:rPr>
      <w:t xml:space="preserve">江苏澄建正达工程项目管理有限公司</w:t>
    </w:r>
    <w:r>
      <w:t xml:space="preserve">招标代理文件</w:t>
    </w:r>
    <w:r>
      <w:rPr>
        <w:rFonts w:hint="eastAsia"/>
        <w:bCs/>
      </w:rPr>
      <w:t xml:space="preserve">CJ-CG-2025-049</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pPr>
    <w:r>
      <w:rPr>
        <w:rFonts w:hint="eastAsia"/>
      </w:rPr>
      <w:t xml:space="preserve">江苏澄建正达工程项目管理有限公司</w:t>
    </w:r>
    <w:r>
      <w:t xml:space="preserve">招标代理文件</w:t>
    </w:r>
    <w:r>
      <w:rPr>
        <w:rFonts w:hint="eastAsia"/>
        <w:bCs/>
      </w:rPr>
      <w:t xml:space="preserve">CJ-CG-2025-049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369"/>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pStyle w:val="1294"/>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decimal"/>
      <w:pStyle w:val="113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27"/>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06"/>
      <w:isLgl w:val="false"/>
      <w:suff w:val="nothing"/>
      <w:lvlText w:val=""/>
      <w:lvlJc w:val="left"/>
      <w:pPr>
        <w:ind w:left="0" w:firstLine="0"/>
      </w:pPr>
      <w:rPr>
        <w:rFonts w:hint="eastAsia"/>
      </w:rPr>
    </w:lvl>
    <w:lvl w:ilvl="3">
      <w:start w:val="1"/>
      <w:numFmt w:val="decimal"/>
      <w:pStyle w:val="1107"/>
      <w:isLgl w:val="false"/>
      <w:suff w:val="nothing"/>
      <w:lvlText w:val=""/>
      <w:lvlJc w:val="left"/>
      <w:pPr>
        <w:ind w:left="0" w:firstLine="0"/>
      </w:pPr>
      <w:rPr>
        <w:rFonts w:hint="eastAsia"/>
      </w:rPr>
    </w:lvl>
    <w:lvl w:ilvl="4">
      <w:start w:val="1"/>
      <w:numFmt w:val="decimal"/>
      <w:pStyle w:val="1114"/>
      <w:isLgl w:val="false"/>
      <w:suff w:val="nothing"/>
      <w:lvlText w:val=""/>
      <w:lvlJc w:val="left"/>
      <w:pPr>
        <w:ind w:left="0" w:firstLine="0"/>
      </w:pPr>
      <w:rPr>
        <w:rFonts w:hint="eastAsia"/>
      </w:rPr>
    </w:lvl>
    <w:lvl w:ilvl="5">
      <w:start w:val="1"/>
      <w:numFmt w:val="decimal"/>
      <w:pStyle w:val="1115"/>
      <w:isLgl w:val="false"/>
      <w:suff w:val="nothing"/>
      <w:lvlText w:val=""/>
      <w:lvlJc w:val="left"/>
      <w:pPr>
        <w:ind w:left="0" w:firstLine="0"/>
      </w:pPr>
      <w:rPr>
        <w:rFonts w:hint="eastAsia"/>
      </w:rPr>
    </w:lvl>
    <w:lvl w:ilvl="6">
      <w:start w:val="1"/>
      <w:numFmt w:val="decimal"/>
      <w:pStyle w:val="1116"/>
      <w:isLgl w:val="false"/>
      <w:suff w:val="nothing"/>
      <w:lvlText w:val=""/>
      <w:lvlJc w:val="left"/>
      <w:pPr>
        <w:ind w:left="0" w:firstLine="0"/>
      </w:pPr>
      <w:rPr>
        <w:rFonts w:hint="eastAsia"/>
      </w:rPr>
    </w:lvl>
    <w:lvl w:ilvl="7">
      <w:start w:val="1"/>
      <w:numFmt w:val="decimal"/>
      <w:pStyle w:val="1117"/>
      <w:isLgl w:val="false"/>
      <w:suff w:val="nothing"/>
      <w:lvlText w:val=""/>
      <w:lvlJc w:val="left"/>
      <w:pPr>
        <w:ind w:left="0" w:firstLine="0"/>
      </w:pPr>
      <w:rPr>
        <w:rFonts w:hint="eastAsia"/>
      </w:rPr>
    </w:lvl>
    <w:lvl w:ilvl="8">
      <w:start w:val="1"/>
      <w:numFmt w:val="decimal"/>
      <w:pStyle w:val="1118"/>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280"/>
      <w:isLgl w:val="false"/>
      <w:suff w:val="tab"/>
      <w:lvlText w:val="%1、"/>
      <w:lvlJc w:val="left"/>
      <w:pPr>
        <w:ind w:left="907" w:hanging="907"/>
      </w:pPr>
      <w:rPr>
        <w:rFonts w:hint="eastAsia"/>
      </w:rPr>
    </w:lvl>
    <w:lvl w:ilvl="1">
      <w:start w:val="1"/>
      <w:numFmt w:val="decimal"/>
      <w:pStyle w:val="1281"/>
      <w:isLgl w:val="false"/>
      <w:suff w:val="tab"/>
      <w:lvlText w:val="%2."/>
      <w:lvlJc w:val="left"/>
      <w:pPr>
        <w:ind w:left="1220" w:hanging="794"/>
      </w:pPr>
      <w:rPr>
        <w:rFonts w:hint="eastAsia"/>
      </w:rPr>
    </w:lvl>
    <w:lvl w:ilvl="2">
      <w:start w:val="1"/>
      <w:numFmt w:val="decimal"/>
      <w:pStyle w:val="1282"/>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283"/>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name w:val="TOC Heading"/>
    <w:uiPriority w:val="39"/>
    <w:unhideWhenUsed/>
  </w:style>
  <w:style w:type="paragraph" w:styleId="8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3">
    <w:name w:val="Heading 1"/>
    <w:basedOn w:val="892"/>
    <w:next w:val="892"/>
    <w:link w:val="959"/>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60"/>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61"/>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962"/>
    <w:uiPriority w:val="9"/>
    <w:unhideWhenUsed/>
    <w:qFormat/>
    <w:pPr>
      <w:keepLines/>
      <w:keepNext/>
      <w:spacing w:before="320" w:after="200"/>
      <w:outlineLvl w:val="3"/>
    </w:pPr>
    <w:rPr>
      <w:rFonts w:ascii="Arial" w:hAnsi="Arial" w:eastAsia="Arial" w:cs="Arial"/>
      <w:b/>
      <w:bCs/>
      <w:sz w:val="26"/>
      <w:szCs w:val="26"/>
    </w:rPr>
  </w:style>
  <w:style w:type="paragraph" w:styleId="897">
    <w:name w:val="Heading 5"/>
    <w:basedOn w:val="892"/>
    <w:next w:val="892"/>
    <w:link w:val="963"/>
    <w:uiPriority w:val="9"/>
    <w:unhideWhenUsed/>
    <w:qFormat/>
    <w:pPr>
      <w:keepLines/>
      <w:keepNext/>
      <w:spacing w:before="320" w:after="200"/>
      <w:outlineLvl w:val="4"/>
    </w:pPr>
    <w:rPr>
      <w:rFonts w:ascii="Arial" w:hAnsi="Arial" w:eastAsia="Arial" w:cs="Arial"/>
      <w:b/>
      <w:bCs/>
      <w:sz w:val="24"/>
    </w:rPr>
  </w:style>
  <w:style w:type="paragraph" w:styleId="898">
    <w:name w:val="Heading 6"/>
    <w:basedOn w:val="892"/>
    <w:next w:val="892"/>
    <w:link w:val="964"/>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65"/>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66"/>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67"/>
    <w:uiPriority w:val="9"/>
    <w:unhideWhenUsed/>
    <w:qFormat/>
    <w:pPr>
      <w:keepLines/>
      <w:keepNext/>
      <w:spacing w:before="320" w:after="200"/>
      <w:outlineLvl w:val="8"/>
    </w:pPr>
    <w:rPr>
      <w:rFonts w:ascii="Arial" w:hAnsi="Arial" w:eastAsia="Arial" w:cs="Arial"/>
      <w:i/>
      <w:iCs/>
      <w:szCs w:val="21"/>
    </w:rPr>
  </w:style>
  <w:style w:type="character" w:styleId="902" w:default="1">
    <w:name w:val="Default Paragraph Font"/>
    <w:uiPriority w:val="1"/>
    <w:semiHidden/>
    <w:unhideWhenUsed/>
    <w:qFormat/>
  </w:style>
  <w:style w:type="table" w:styleId="903" w:default="1">
    <w:name w:val="Normal Table"/>
    <w:uiPriority w:val="99"/>
    <w:semiHidden/>
    <w:unhideWhenUsed/>
    <w:qFormat/>
    <w:tblPr>
      <w:tblCellMar>
        <w:left w:w="108" w:type="dxa"/>
        <w:top w:w="0" w:type="dxa"/>
        <w:right w:w="108" w:type="dxa"/>
        <w:bottom w:w="0" w:type="dxa"/>
      </w:tblCellMar>
    </w:tblPr>
  </w:style>
  <w:style w:type="paragraph" w:styleId="904">
    <w:name w:val="toc 7"/>
    <w:basedOn w:val="892"/>
    <w:next w:val="892"/>
    <w:uiPriority w:val="39"/>
    <w:unhideWhenUsed/>
    <w:qFormat/>
    <w:pPr>
      <w:ind w:left="1701"/>
      <w:spacing w:after="57"/>
    </w:pPr>
  </w:style>
  <w:style w:type="paragraph" w:styleId="905">
    <w:name w:val="Note Heading"/>
    <w:basedOn w:val="892"/>
    <w:next w:val="892"/>
    <w:uiPriority w:val="0"/>
    <w:qFormat/>
    <w:pPr>
      <w:ind w:firstLine="480"/>
      <w:jc w:val="center"/>
      <w:spacing w:line="360" w:lineRule="auto"/>
    </w:pPr>
    <w:rPr>
      <w:lang w:val="zh-CN"/>
    </w:rPr>
  </w:style>
  <w:style w:type="paragraph" w:styleId="906">
    <w:name w:val="Caption"/>
    <w:basedOn w:val="892"/>
    <w:next w:val="892"/>
    <w:uiPriority w:val="35"/>
    <w:semiHidden/>
    <w:unhideWhenUsed/>
    <w:qFormat/>
    <w:pPr>
      <w:spacing w:line="276" w:lineRule="auto"/>
    </w:pPr>
    <w:rPr>
      <w:b/>
      <w:bCs/>
      <w:color w:val="4f81bd" w:themeColor="accent1"/>
      <w:sz w:val="18"/>
      <w:szCs w:val="18"/>
    </w:rPr>
  </w:style>
  <w:style w:type="paragraph" w:styleId="907">
    <w:name w:val="index 5"/>
    <w:basedOn w:val="892"/>
    <w:next w:val="892"/>
    <w:uiPriority w:val="0"/>
    <w:qFormat/>
    <w:pPr>
      <w:ind w:left="798"/>
    </w:pPr>
    <w:rPr>
      <w:rFonts w:ascii="Calibri" w:hAnsi="Calibri" w:eastAsia="Times New Roman"/>
      <w:sz w:val="24"/>
    </w:rPr>
  </w:style>
  <w:style w:type="paragraph" w:styleId="908">
    <w:name w:val="Body Text"/>
    <w:basedOn w:val="892"/>
    <w:uiPriority w:val="0"/>
    <w:qFormat/>
    <w:pPr>
      <w:jc w:val="left"/>
      <w:widowControl/>
    </w:pPr>
  </w:style>
  <w:style w:type="paragraph" w:styleId="909">
    <w:name w:val="Body Text Indent"/>
    <w:basedOn w:val="892"/>
    <w:uiPriority w:val="0"/>
    <w:qFormat/>
    <w:pPr>
      <w:ind w:left="420"/>
      <w:spacing w:after="120"/>
    </w:pPr>
    <w:rPr>
      <w:sz w:val="24"/>
    </w:rPr>
  </w:style>
  <w:style w:type="paragraph" w:styleId="910">
    <w:name w:val="toc 5"/>
    <w:basedOn w:val="892"/>
    <w:next w:val="892"/>
    <w:uiPriority w:val="39"/>
    <w:unhideWhenUsed/>
    <w:qFormat/>
    <w:pPr>
      <w:ind w:left="1134"/>
      <w:spacing w:after="57"/>
    </w:pPr>
  </w:style>
  <w:style w:type="paragraph" w:styleId="911">
    <w:name w:val="toc 3"/>
    <w:basedOn w:val="892"/>
    <w:next w:val="892"/>
    <w:uiPriority w:val="39"/>
    <w:unhideWhenUsed/>
    <w:qFormat/>
    <w:pPr>
      <w:ind w:left="567"/>
      <w:spacing w:after="57"/>
    </w:pPr>
  </w:style>
  <w:style w:type="paragraph" w:styleId="912">
    <w:name w:val="Plain Text"/>
    <w:basedOn w:val="892"/>
    <w:uiPriority w:val="0"/>
    <w:qFormat/>
    <w:rPr>
      <w:rFonts w:ascii="宋体" w:hAnsi="Courier New"/>
      <w:sz w:val="24"/>
      <w:szCs w:val="20"/>
    </w:rPr>
  </w:style>
  <w:style w:type="paragraph" w:styleId="913">
    <w:name w:val="toc 8"/>
    <w:basedOn w:val="892"/>
    <w:next w:val="892"/>
    <w:uiPriority w:val="39"/>
    <w:unhideWhenUsed/>
    <w:qFormat/>
    <w:pPr>
      <w:ind w:left="1984"/>
      <w:spacing w:after="57"/>
    </w:pPr>
  </w:style>
  <w:style w:type="paragraph" w:styleId="914">
    <w:name w:val="endnote text"/>
    <w:basedOn w:val="892"/>
    <w:link w:val="1102"/>
    <w:uiPriority w:val="99"/>
    <w:semiHidden/>
    <w:unhideWhenUsed/>
    <w:qFormat/>
    <w:rPr>
      <w:sz w:val="20"/>
    </w:rPr>
  </w:style>
  <w:style w:type="paragraph" w:styleId="915">
    <w:name w:val="Balloon Text"/>
    <w:basedOn w:val="892"/>
    <w:link w:val="1378"/>
    <w:uiPriority w:val="99"/>
    <w:semiHidden/>
    <w:unhideWhenUsed/>
    <w:qFormat/>
    <w:rPr>
      <w:sz w:val="18"/>
      <w:szCs w:val="18"/>
    </w:rPr>
  </w:style>
  <w:style w:type="paragraph" w:styleId="916">
    <w:name w:val="Footer"/>
    <w:basedOn w:val="892"/>
    <w:link w:val="975"/>
    <w:uiPriority w:val="99"/>
    <w:unhideWhenUsed/>
    <w:qFormat/>
    <w:pPr>
      <w:tabs>
        <w:tab w:val="center" w:pos="7143" w:leader="none"/>
        <w:tab w:val="right" w:pos="14287" w:leader="none"/>
      </w:tabs>
    </w:pPr>
  </w:style>
  <w:style w:type="paragraph" w:styleId="917">
    <w:name w:val="envelope return"/>
    <w:basedOn w:val="892"/>
    <w:uiPriority w:val="99"/>
    <w:unhideWhenUsed/>
    <w:qFormat/>
    <w:rPr>
      <w:rFonts w:ascii="Arial" w:hAnsi="Arial"/>
    </w:rPr>
  </w:style>
  <w:style w:type="paragraph" w:styleId="918">
    <w:name w:val="Header"/>
    <w:basedOn w:val="892"/>
    <w:link w:val="973"/>
    <w:uiPriority w:val="99"/>
    <w:unhideWhenUsed/>
    <w:qFormat/>
    <w:pPr>
      <w:tabs>
        <w:tab w:val="center" w:pos="7143" w:leader="none"/>
        <w:tab w:val="right" w:pos="14287" w:leader="none"/>
      </w:tabs>
    </w:pPr>
  </w:style>
  <w:style w:type="paragraph" w:styleId="919">
    <w:name w:val="toc 1"/>
    <w:basedOn w:val="892"/>
    <w:next w:val="892"/>
    <w:uiPriority w:val="39"/>
    <w:unhideWhenUsed/>
    <w:qFormat/>
    <w:pPr>
      <w:spacing w:after="57"/>
    </w:pPr>
  </w:style>
  <w:style w:type="paragraph" w:styleId="920">
    <w:name w:val="toc 4"/>
    <w:basedOn w:val="892"/>
    <w:next w:val="892"/>
    <w:uiPriority w:val="39"/>
    <w:unhideWhenUsed/>
    <w:qFormat/>
    <w:pPr>
      <w:ind w:left="850"/>
      <w:spacing w:after="57"/>
    </w:pPr>
  </w:style>
  <w:style w:type="paragraph" w:styleId="921">
    <w:name w:val="Subtitle"/>
    <w:basedOn w:val="892"/>
    <w:next w:val="892"/>
    <w:link w:val="970"/>
    <w:uiPriority w:val="11"/>
    <w:qFormat/>
    <w:pPr>
      <w:spacing w:before="200" w:after="200"/>
    </w:pPr>
    <w:rPr>
      <w:sz w:val="24"/>
    </w:rPr>
  </w:style>
  <w:style w:type="paragraph" w:styleId="922">
    <w:name w:val="footnote text"/>
    <w:basedOn w:val="892"/>
    <w:next w:val="907"/>
    <w:link w:val="1101"/>
    <w:uiPriority w:val="99"/>
    <w:semiHidden/>
    <w:unhideWhenUsed/>
    <w:qFormat/>
    <w:pPr>
      <w:spacing w:after="40"/>
    </w:pPr>
    <w:rPr>
      <w:sz w:val="18"/>
    </w:rPr>
  </w:style>
  <w:style w:type="paragraph" w:styleId="923">
    <w:name w:val="toc 6"/>
    <w:basedOn w:val="892"/>
    <w:next w:val="892"/>
    <w:uiPriority w:val="39"/>
    <w:unhideWhenUsed/>
    <w:qFormat/>
    <w:pPr>
      <w:ind w:left="1417"/>
      <w:spacing w:after="57"/>
    </w:pPr>
  </w:style>
  <w:style w:type="paragraph" w:styleId="924">
    <w:name w:val="table of figures"/>
    <w:basedOn w:val="892"/>
    <w:next w:val="892"/>
    <w:uiPriority w:val="99"/>
    <w:unhideWhenUsed/>
    <w:qFormat/>
  </w:style>
  <w:style w:type="paragraph" w:styleId="925">
    <w:name w:val="toc 2"/>
    <w:basedOn w:val="892"/>
    <w:next w:val="892"/>
    <w:uiPriority w:val="39"/>
    <w:unhideWhenUsed/>
    <w:qFormat/>
    <w:pPr>
      <w:ind w:left="283"/>
      <w:spacing w:after="57"/>
    </w:pPr>
  </w:style>
  <w:style w:type="paragraph" w:styleId="926">
    <w:name w:val="toc 9"/>
    <w:basedOn w:val="892"/>
    <w:next w:val="892"/>
    <w:uiPriority w:val="39"/>
    <w:unhideWhenUsed/>
    <w:qFormat/>
    <w:pPr>
      <w:ind w:left="2268"/>
      <w:spacing w:after="57"/>
    </w:pPr>
  </w:style>
  <w:style w:type="paragraph" w:styleId="927">
    <w:name w:val="Normal (Web)"/>
    <w:basedOn w:val="892"/>
    <w:uiPriority w:val="99"/>
    <w:semiHidden/>
    <w:unhideWhenUsed/>
    <w:qFormat/>
    <w:pPr>
      <w:jc w:val="left"/>
      <w:spacing w:beforeAutospacing="1" w:afterAutospacing="1"/>
    </w:pPr>
    <w:rPr>
      <w:sz w:val="24"/>
    </w:rPr>
  </w:style>
  <w:style w:type="paragraph" w:styleId="928">
    <w:name w:val="Title"/>
    <w:basedOn w:val="892"/>
    <w:next w:val="892"/>
    <w:link w:val="969"/>
    <w:uiPriority w:val="10"/>
    <w:qFormat/>
    <w:pPr>
      <w:contextualSpacing/>
      <w:spacing w:before="300" w:after="200"/>
    </w:pPr>
    <w:rPr>
      <w:sz w:val="48"/>
      <w:szCs w:val="48"/>
    </w:rPr>
  </w:style>
  <w:style w:type="paragraph" w:styleId="929">
    <w:name w:val="Body Text First Indent 2"/>
    <w:basedOn w:val="909"/>
    <w:uiPriority w:val="0"/>
    <w:qFormat/>
    <w:pPr>
      <w:ind w:firstLine="420"/>
    </w:pPr>
  </w:style>
  <w:style w:type="table" w:styleId="9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basedOn w:val="902"/>
    <w:uiPriority w:val="22"/>
    <w:qFormat/>
    <w:rPr>
      <w:b/>
      <w:bCs/>
    </w:rPr>
  </w:style>
  <w:style w:type="character" w:styleId="932">
    <w:name w:val="endnote reference"/>
    <w:uiPriority w:val="99"/>
    <w:semiHidden/>
    <w:unhideWhenUsed/>
    <w:qFormat/>
    <w:rPr>
      <w:vertAlign w:val="superscript"/>
    </w:rPr>
  </w:style>
  <w:style w:type="character" w:styleId="933">
    <w:name w:val="FollowedHyperlink"/>
    <w:basedOn w:val="902"/>
    <w:uiPriority w:val="99"/>
    <w:semiHidden/>
    <w:unhideWhenUsed/>
    <w:qFormat/>
    <w:rPr>
      <w:color w:val="800080"/>
      <w:u w:val="none"/>
    </w:rPr>
  </w:style>
  <w:style w:type="character" w:styleId="934">
    <w:name w:val="HTML Definition"/>
    <w:basedOn w:val="902"/>
    <w:uiPriority w:val="99"/>
    <w:semiHidden/>
    <w:unhideWhenUsed/>
    <w:qFormat/>
    <w:rPr>
      <w:i/>
      <w:iCs/>
    </w:rPr>
  </w:style>
  <w:style w:type="character" w:styleId="935">
    <w:name w:val="HTML Typewriter"/>
    <w:basedOn w:val="902"/>
    <w:uiPriority w:val="99"/>
    <w:semiHidden/>
    <w:unhideWhenUsed/>
    <w:qFormat/>
    <w:rPr>
      <w:rFonts w:hint="default" w:ascii="monospace" w:hAnsi="monospace" w:eastAsia="monospace" w:cs="monospace"/>
      <w:sz w:val="20"/>
    </w:rPr>
  </w:style>
  <w:style w:type="character" w:styleId="936">
    <w:name w:val="Hyperlink"/>
    <w:uiPriority w:val="99"/>
    <w:unhideWhenUsed/>
    <w:qFormat/>
    <w:rPr>
      <w:color w:val="0000ff" w:themeColor="hyperlink"/>
      <w:u w:val="single"/>
    </w:rPr>
  </w:style>
  <w:style w:type="character" w:styleId="937">
    <w:name w:val="HTML Code"/>
    <w:basedOn w:val="902"/>
    <w:uiPriority w:val="99"/>
    <w:semiHidden/>
    <w:unhideWhenUsed/>
    <w:qFormat/>
    <w:rPr>
      <w:rFonts w:ascii="monospace" w:hAnsi="monospace" w:eastAsia="monospace" w:cs="monospace"/>
      <w:sz w:val="20"/>
    </w:rPr>
  </w:style>
  <w:style w:type="character" w:styleId="938">
    <w:name w:val="footnote reference"/>
    <w:uiPriority w:val="99"/>
    <w:unhideWhenUsed/>
    <w:qFormat/>
    <w:rPr>
      <w:vertAlign w:val="superscript"/>
    </w:rPr>
  </w:style>
  <w:style w:type="character" w:styleId="939">
    <w:name w:val="HTML Keyboard"/>
    <w:basedOn w:val="902"/>
    <w:uiPriority w:val="99"/>
    <w:semiHidden/>
    <w:unhideWhenUsed/>
    <w:qFormat/>
    <w:rPr>
      <w:rFonts w:hint="default" w:ascii="monospace" w:hAnsi="monospace" w:eastAsia="monospace" w:cs="monospace"/>
      <w:sz w:val="20"/>
    </w:rPr>
  </w:style>
  <w:style w:type="character" w:styleId="940">
    <w:name w:val="HTML Sample"/>
    <w:basedOn w:val="902"/>
    <w:uiPriority w:val="99"/>
    <w:semiHidden/>
    <w:unhideWhenUsed/>
    <w:qFormat/>
    <w:rPr>
      <w:rFonts w:hint="default" w:ascii="monospace" w:hAnsi="monospace" w:eastAsia="monospace" w:cs="monospace"/>
    </w:rPr>
  </w:style>
  <w:style w:type="paragraph" w:styleId="941">
    <w:name w:val="List Paragraph"/>
    <w:basedOn w:val="892"/>
    <w:uiPriority w:val="34"/>
    <w:qFormat/>
    <w:pPr>
      <w:contextualSpacing/>
      <w:ind w:left="720"/>
    </w:pPr>
  </w:style>
  <w:style w:type="character" w:styleId="942" w:customStyle="1">
    <w:name w:val="Heading 1 Char"/>
    <w:basedOn w:val="902"/>
    <w:uiPriority w:val="9"/>
    <w:qFormat/>
    <w:rPr>
      <w:rFonts w:ascii="Arial" w:hAnsi="Arial" w:eastAsia="Arial" w:cs="Arial"/>
      <w:sz w:val="40"/>
      <w:szCs w:val="40"/>
    </w:rPr>
  </w:style>
  <w:style w:type="character" w:styleId="943" w:customStyle="1">
    <w:name w:val="Heading 2 Char"/>
    <w:basedOn w:val="902"/>
    <w:uiPriority w:val="9"/>
    <w:qFormat/>
    <w:rPr>
      <w:rFonts w:ascii="Arial" w:hAnsi="Arial" w:eastAsia="Arial" w:cs="Arial"/>
      <w:sz w:val="34"/>
    </w:rPr>
  </w:style>
  <w:style w:type="character" w:styleId="944" w:customStyle="1">
    <w:name w:val="Heading 3 Char"/>
    <w:basedOn w:val="902"/>
    <w:uiPriority w:val="9"/>
    <w:qFormat/>
    <w:rPr>
      <w:rFonts w:ascii="Arial" w:hAnsi="Arial" w:eastAsia="Arial" w:cs="Arial"/>
      <w:sz w:val="30"/>
      <w:szCs w:val="30"/>
    </w:rPr>
  </w:style>
  <w:style w:type="character" w:styleId="945" w:customStyle="1">
    <w:name w:val="Heading 4 Char"/>
    <w:basedOn w:val="902"/>
    <w:uiPriority w:val="9"/>
    <w:qFormat/>
    <w:rPr>
      <w:rFonts w:ascii="Arial" w:hAnsi="Arial" w:eastAsia="Arial" w:cs="Arial"/>
      <w:b/>
      <w:bCs/>
      <w:sz w:val="26"/>
      <w:szCs w:val="26"/>
    </w:rPr>
  </w:style>
  <w:style w:type="character" w:styleId="946" w:customStyle="1">
    <w:name w:val="Heading 5 Char"/>
    <w:basedOn w:val="902"/>
    <w:uiPriority w:val="9"/>
    <w:qFormat/>
    <w:rPr>
      <w:rFonts w:ascii="Arial" w:hAnsi="Arial" w:eastAsia="Arial" w:cs="Arial"/>
      <w:b/>
      <w:bCs/>
      <w:sz w:val="24"/>
      <w:szCs w:val="24"/>
    </w:rPr>
  </w:style>
  <w:style w:type="character" w:styleId="947" w:customStyle="1">
    <w:name w:val="Heading 6 Char"/>
    <w:basedOn w:val="902"/>
    <w:uiPriority w:val="9"/>
    <w:qFormat/>
    <w:rPr>
      <w:rFonts w:ascii="Arial" w:hAnsi="Arial" w:eastAsia="Arial" w:cs="Arial"/>
      <w:b/>
      <w:bCs/>
      <w:sz w:val="22"/>
      <w:szCs w:val="22"/>
    </w:rPr>
  </w:style>
  <w:style w:type="character" w:styleId="948" w:customStyle="1">
    <w:name w:val="Heading 7 Char"/>
    <w:basedOn w:val="902"/>
    <w:uiPriority w:val="9"/>
    <w:qFormat/>
    <w:rPr>
      <w:rFonts w:ascii="Arial" w:hAnsi="Arial" w:eastAsia="Arial" w:cs="Arial"/>
      <w:b/>
      <w:bCs/>
      <w:i/>
      <w:iCs/>
      <w:sz w:val="22"/>
      <w:szCs w:val="22"/>
    </w:rPr>
  </w:style>
  <w:style w:type="character" w:styleId="949" w:customStyle="1">
    <w:name w:val="Heading 8 Char"/>
    <w:basedOn w:val="902"/>
    <w:uiPriority w:val="9"/>
    <w:qFormat/>
    <w:rPr>
      <w:rFonts w:ascii="Arial" w:hAnsi="Arial" w:eastAsia="Arial" w:cs="Arial"/>
      <w:i/>
      <w:iCs/>
      <w:sz w:val="22"/>
      <w:szCs w:val="22"/>
    </w:rPr>
  </w:style>
  <w:style w:type="character" w:styleId="950" w:customStyle="1">
    <w:name w:val="Heading 9 Char"/>
    <w:basedOn w:val="902"/>
    <w:uiPriority w:val="9"/>
    <w:qFormat/>
    <w:rPr>
      <w:rFonts w:ascii="Arial" w:hAnsi="Arial" w:eastAsia="Arial" w:cs="Arial"/>
      <w:i/>
      <w:iCs/>
      <w:sz w:val="21"/>
      <w:szCs w:val="21"/>
    </w:rPr>
  </w:style>
  <w:style w:type="character" w:styleId="951" w:customStyle="1">
    <w:name w:val="Title Char"/>
    <w:basedOn w:val="902"/>
    <w:uiPriority w:val="10"/>
    <w:qFormat/>
    <w:rPr>
      <w:sz w:val="48"/>
      <w:szCs w:val="48"/>
    </w:rPr>
  </w:style>
  <w:style w:type="character" w:styleId="952" w:customStyle="1">
    <w:name w:val="Subtitle Char"/>
    <w:basedOn w:val="902"/>
    <w:uiPriority w:val="11"/>
    <w:qFormat/>
    <w:rPr>
      <w:sz w:val="24"/>
      <w:szCs w:val="24"/>
    </w:rPr>
  </w:style>
  <w:style w:type="character" w:styleId="953" w:customStyle="1">
    <w:name w:val="Header Char"/>
    <w:basedOn w:val="902"/>
    <w:uiPriority w:val="99"/>
    <w:qFormat/>
  </w:style>
  <w:style w:type="character" w:styleId="954" w:customStyle="1">
    <w:name w:val="Caption Char"/>
    <w:uiPriority w:val="99"/>
    <w:qFormat/>
  </w:style>
  <w:style w:type="character" w:styleId="955" w:customStyle="1">
    <w:name w:val="Footnote Text Char"/>
    <w:uiPriority w:val="99"/>
    <w:qFormat/>
    <w:rPr>
      <w:sz w:val="18"/>
    </w:rPr>
  </w:style>
  <w:style w:type="character" w:styleId="956" w:customStyle="1">
    <w:name w:val="Endnote Text Char"/>
    <w:uiPriority w:val="99"/>
    <w:qFormat/>
    <w:rPr>
      <w:sz w:val="20"/>
    </w:r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列出段落1"/>
    <w:basedOn w:val="892"/>
    <w:uiPriority w:val="0"/>
    <w:qFormat/>
    <w:pPr>
      <w:contextualSpacing/>
      <w:ind w:left="720"/>
      <w:jc w:val="left"/>
      <w:widowControl/>
    </w:pPr>
    <w:rPr>
      <w:sz w:val="24"/>
      <w:lang w:eastAsia="en-US"/>
    </w:rPr>
  </w:style>
  <w:style w:type="character" w:styleId="959" w:customStyle="1">
    <w:name w:val="标题 1 Char1"/>
    <w:link w:val="893"/>
    <w:uiPriority w:val="9"/>
    <w:qFormat/>
    <w:rPr>
      <w:rFonts w:ascii="Arial" w:hAnsi="Arial" w:eastAsia="Arial" w:cs="Arial"/>
      <w:sz w:val="40"/>
      <w:szCs w:val="40"/>
    </w:rPr>
  </w:style>
  <w:style w:type="character" w:styleId="960" w:customStyle="1">
    <w:name w:val="标题 2 Char1"/>
    <w:link w:val="894"/>
    <w:uiPriority w:val="9"/>
    <w:qFormat/>
    <w:rPr>
      <w:rFonts w:ascii="Arial" w:hAnsi="Arial" w:eastAsia="Arial" w:cs="Arial"/>
      <w:sz w:val="34"/>
    </w:rPr>
  </w:style>
  <w:style w:type="character" w:styleId="961" w:customStyle="1">
    <w:name w:val="标题 3 Char1"/>
    <w:link w:val="895"/>
    <w:uiPriority w:val="9"/>
    <w:qFormat/>
    <w:rPr>
      <w:rFonts w:ascii="Arial" w:hAnsi="Arial" w:eastAsia="Arial" w:cs="Arial"/>
      <w:sz w:val="30"/>
      <w:szCs w:val="30"/>
    </w:rPr>
  </w:style>
  <w:style w:type="character" w:styleId="962" w:customStyle="1">
    <w:name w:val="标题 4 Char1"/>
    <w:link w:val="896"/>
    <w:uiPriority w:val="9"/>
    <w:qFormat/>
    <w:rPr>
      <w:rFonts w:ascii="Arial" w:hAnsi="Arial" w:eastAsia="Arial" w:cs="Arial"/>
      <w:b/>
      <w:bCs/>
      <w:sz w:val="26"/>
      <w:szCs w:val="26"/>
    </w:rPr>
  </w:style>
  <w:style w:type="character" w:styleId="963" w:customStyle="1">
    <w:name w:val="标题 5 Char1"/>
    <w:link w:val="897"/>
    <w:uiPriority w:val="9"/>
    <w:qFormat/>
    <w:rPr>
      <w:rFonts w:ascii="Arial" w:hAnsi="Arial" w:eastAsia="Arial" w:cs="Arial"/>
      <w:b/>
      <w:bCs/>
      <w:sz w:val="24"/>
      <w:szCs w:val="24"/>
    </w:rPr>
  </w:style>
  <w:style w:type="character" w:styleId="964" w:customStyle="1">
    <w:name w:val="标题 6 Char1"/>
    <w:link w:val="898"/>
    <w:uiPriority w:val="9"/>
    <w:qFormat/>
    <w:rPr>
      <w:rFonts w:ascii="Arial" w:hAnsi="Arial" w:eastAsia="Arial" w:cs="Arial"/>
      <w:b/>
      <w:bCs/>
      <w:sz w:val="22"/>
      <w:szCs w:val="22"/>
    </w:rPr>
  </w:style>
  <w:style w:type="character" w:styleId="965" w:customStyle="1">
    <w:name w:val="标题 7 Char1"/>
    <w:link w:val="899"/>
    <w:uiPriority w:val="9"/>
    <w:qFormat/>
    <w:rPr>
      <w:rFonts w:ascii="Arial" w:hAnsi="Arial" w:eastAsia="Arial" w:cs="Arial"/>
      <w:b/>
      <w:bCs/>
      <w:i/>
      <w:iCs/>
      <w:sz w:val="22"/>
      <w:szCs w:val="22"/>
    </w:rPr>
  </w:style>
  <w:style w:type="character" w:styleId="966" w:customStyle="1">
    <w:name w:val="标题 8 Char1"/>
    <w:link w:val="900"/>
    <w:uiPriority w:val="9"/>
    <w:qFormat/>
    <w:rPr>
      <w:rFonts w:ascii="Arial" w:hAnsi="Arial" w:eastAsia="Arial" w:cs="Arial"/>
      <w:i/>
      <w:iCs/>
      <w:sz w:val="22"/>
      <w:szCs w:val="22"/>
    </w:rPr>
  </w:style>
  <w:style w:type="character" w:styleId="967" w:customStyle="1">
    <w:name w:val="标题 9 Char1"/>
    <w:link w:val="901"/>
    <w:uiPriority w:val="9"/>
    <w:qFormat/>
    <w:rPr>
      <w:rFonts w:ascii="Arial" w:hAnsi="Arial" w:eastAsia="Arial" w:cs="Arial"/>
      <w:i/>
      <w:iCs/>
      <w:sz w:val="21"/>
      <w:szCs w:val="21"/>
    </w:rPr>
  </w:style>
  <w:style w:type="paragraph" w:styleId="968">
    <w:name w:val="No Spacing"/>
    <w:uiPriority w:val="1"/>
    <w:qFormat/>
    <w:rPr>
      <w:rFonts w:ascii="Times New Roman" w:hAnsi="Times New Roman" w:eastAsia="宋体" w:cs="Times New Roman"/>
      <w:lang w:val="en-US" w:eastAsia="zh-CN" w:bidi="ar-SA"/>
    </w:rPr>
  </w:style>
  <w:style w:type="character" w:styleId="969" w:customStyle="1">
    <w:name w:val="标题 Char2"/>
    <w:link w:val="928"/>
    <w:uiPriority w:val="10"/>
    <w:qFormat/>
    <w:rPr>
      <w:sz w:val="48"/>
      <w:szCs w:val="48"/>
    </w:rPr>
  </w:style>
  <w:style w:type="character" w:styleId="970" w:customStyle="1">
    <w:name w:val="副标题 Char2"/>
    <w:link w:val="921"/>
    <w:uiPriority w:val="11"/>
    <w:qFormat/>
    <w:rPr>
      <w:sz w:val="24"/>
      <w:szCs w:val="24"/>
    </w:rPr>
  </w:style>
  <w:style w:type="paragraph" w:styleId="971">
    <w:name w:val="Quote"/>
    <w:basedOn w:val="892"/>
    <w:next w:val="892"/>
    <w:uiPriority w:val="29"/>
    <w:qFormat/>
    <w:pPr>
      <w:ind w:left="720" w:right="720"/>
    </w:pPr>
    <w:rPr>
      <w:i/>
    </w:rPr>
  </w:style>
  <w:style w:type="paragraph" w:styleId="972">
    <w:name w:val="Intense Quote"/>
    <w:basedOn w:val="892"/>
    <w:next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页眉 Char1"/>
    <w:link w:val="918"/>
    <w:uiPriority w:val="99"/>
    <w:qFormat/>
  </w:style>
  <w:style w:type="character" w:styleId="974" w:customStyle="1">
    <w:name w:val="Footer Char"/>
    <w:link w:val="916"/>
    <w:uiPriority w:val="99"/>
    <w:qFormat/>
  </w:style>
  <w:style w:type="character" w:styleId="975" w:customStyle="1">
    <w:name w:val="页脚 Char1"/>
    <w:link w:val="916"/>
    <w:uiPriority w:val="99"/>
    <w:qFormat/>
  </w:style>
  <w:style w:type="table" w:styleId="9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1" w:customStyle="1">
    <w:name w:val="脚注文本 Char"/>
    <w:link w:val="922"/>
    <w:uiPriority w:val="99"/>
    <w:qFormat/>
    <w:rPr>
      <w:sz w:val="18"/>
    </w:rPr>
  </w:style>
  <w:style w:type="character" w:styleId="1102" w:customStyle="1">
    <w:name w:val="尾注文本 Char"/>
    <w:link w:val="914"/>
    <w:uiPriority w:val="99"/>
    <w:qFormat/>
    <w:rPr>
      <w:sz w:val="20"/>
    </w:rPr>
  </w:style>
  <w:style w:type="paragraph" w:styleId="1103" w:customStyle="1">
    <w:name w:val="TOC 标题111"/>
    <w:uiPriority w:val="39"/>
    <w:unhideWhenUsed/>
    <w:qFormat/>
    <w:rPr>
      <w:rFonts w:ascii="Times New Roman" w:hAnsi="Times New Roman" w:eastAsia="宋体" w:cs="Times New Roman"/>
      <w:lang w:val="en-US" w:eastAsia="zh-CN" w:bidi="ar-SA"/>
    </w:rPr>
  </w:style>
  <w:style w:type="paragraph" w:styleId="1104" w:customStyle="1">
    <w:name w:val="标题 11"/>
    <w:basedOn w:val="892"/>
    <w:next w:val="892"/>
    <w:link w:val="1122"/>
    <w:uiPriority w:val="0"/>
    <w:qFormat/>
    <w:pPr>
      <w:keepLines/>
      <w:keepNext/>
      <w:spacing w:before="340" w:after="330" w:line="576" w:lineRule="auto"/>
      <w:outlineLvl w:val="0"/>
    </w:pPr>
    <w:rPr>
      <w:b/>
      <w:sz w:val="44"/>
      <w:szCs w:val="20"/>
    </w:rPr>
  </w:style>
  <w:style w:type="paragraph" w:styleId="1105" w:customStyle="1">
    <w:name w:val="标题 211"/>
    <w:basedOn w:val="892"/>
    <w:next w:val="892"/>
    <w:link w:val="1123"/>
    <w:uiPriority w:val="0"/>
    <w:qFormat/>
    <w:pPr>
      <w:keepLines/>
      <w:keepNext/>
      <w:spacing w:before="260" w:after="260" w:line="416" w:lineRule="auto"/>
      <w:outlineLvl w:val="1"/>
    </w:pPr>
    <w:rPr>
      <w:rFonts w:ascii="Arial" w:hAnsi="Arial" w:eastAsia="黑体"/>
      <w:b/>
      <w:bCs/>
      <w:sz w:val="32"/>
      <w:szCs w:val="32"/>
    </w:rPr>
  </w:style>
  <w:style w:type="paragraph" w:styleId="1106" w:customStyle="1">
    <w:name w:val="标题 311"/>
    <w:basedOn w:val="892"/>
    <w:next w:val="892"/>
    <w:link w:val="1124"/>
    <w:uiPriority w:val="0"/>
    <w:qFormat/>
    <w:pPr>
      <w:numPr>
        <w:ilvl w:val="2"/>
        <w:numId w:val="1"/>
      </w:numPr>
      <w:keepLines/>
      <w:keepNext/>
      <w:spacing w:before="120" w:after="120" w:line="300" w:lineRule="auto"/>
      <w:outlineLvl w:val="2"/>
    </w:pPr>
    <w:rPr>
      <w:b/>
      <w:bCs/>
      <w:sz w:val="30"/>
      <w:szCs w:val="32"/>
    </w:rPr>
  </w:style>
  <w:style w:type="paragraph" w:styleId="1107" w:customStyle="1">
    <w:name w:val="标题 41"/>
    <w:basedOn w:val="892"/>
    <w:next w:val="1108"/>
    <w:link w:val="1125"/>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08" w:customStyle="1">
    <w:name w:val="正文11"/>
    <w:next w:val="1109"/>
    <w:link w:val="1248"/>
    <w:uiPriority w:val="0"/>
    <w:qFormat/>
    <w:pPr>
      <w:jc w:val="both"/>
      <w:widowControl w:val="off"/>
    </w:pPr>
    <w:rPr>
      <w:rFonts w:ascii="Times New Roman" w:hAnsi="Times New Roman" w:eastAsia="宋体" w:cs="Times New Roman"/>
      <w:sz w:val="21"/>
      <w:szCs w:val="22"/>
      <w:lang w:val="en-US" w:eastAsia="zh-CN" w:bidi="ar-SA"/>
    </w:rPr>
  </w:style>
  <w:style w:type="paragraph" w:styleId="1109" w:customStyle="1">
    <w:name w:val="目录 11"/>
    <w:basedOn w:val="1108"/>
    <w:next w:val="1108"/>
    <w:uiPriority w:val="0"/>
    <w:qFormat/>
    <w:pPr>
      <w:spacing w:line="360" w:lineRule="auto"/>
      <w:tabs>
        <w:tab w:val="right" w:pos="9060" w:leader="dot"/>
      </w:tabs>
    </w:pPr>
    <w:rPr>
      <w:sz w:val="24"/>
      <w:szCs w:val="24"/>
    </w:rPr>
  </w:style>
  <w:style w:type="paragraph" w:styleId="1110" w:customStyle="1">
    <w:name w:val="文本块1"/>
    <w:basedOn w:val="1111"/>
    <w:next w:val="1107"/>
    <w:uiPriority w:val="0"/>
    <w:qFormat/>
    <w:pPr>
      <w:ind w:left="420" w:right="33"/>
      <w:jc w:val="left"/>
    </w:pPr>
    <w:rPr>
      <w:sz w:val="24"/>
      <w:szCs w:val="20"/>
    </w:rPr>
  </w:style>
  <w:style w:type="paragraph" w:styleId="1111" w:customStyle="1">
    <w:name w:val="正文1"/>
    <w:basedOn w:val="892"/>
    <w:next w:val="892"/>
    <w:uiPriority w:val="0"/>
    <w:qFormat/>
    <w:pPr>
      <w:ind w:left="1260" w:firstLine="540"/>
      <w:spacing w:line="360" w:lineRule="auto"/>
    </w:pPr>
    <w:rPr>
      <w:rFonts w:ascii="宋体" w:hAnsi="宋体" w:cs="黑体"/>
      <w:szCs w:val="22"/>
    </w:rPr>
  </w:style>
  <w:style w:type="paragraph" w:styleId="1112" w:customStyle="1">
    <w:name w:val="标题 21"/>
    <w:basedOn w:val="1113"/>
    <w:next w:val="1108"/>
    <w:uiPriority w:val="0"/>
    <w:qFormat/>
    <w:pPr>
      <w:keepLines/>
      <w:keepNext/>
      <w:spacing w:before="260" w:after="260" w:line="416" w:lineRule="auto"/>
      <w:outlineLvl w:val="1"/>
    </w:pPr>
    <w:rPr>
      <w:rFonts w:ascii="Arial" w:hAnsi="Arial" w:eastAsia="黑体"/>
      <w:b/>
      <w:bCs/>
      <w:sz w:val="32"/>
      <w:szCs w:val="32"/>
    </w:rPr>
  </w:style>
  <w:style w:type="paragraph" w:styleId="1113" w:customStyle="1">
    <w:name w:val="正文12"/>
    <w:next w:val="1112"/>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标题 51"/>
    <w:basedOn w:val="892"/>
    <w:next w:val="892"/>
    <w:link w:val="1126"/>
    <w:uiPriority w:val="0"/>
    <w:qFormat/>
    <w:pPr>
      <w:numPr>
        <w:ilvl w:val="4"/>
        <w:numId w:val="1"/>
      </w:numPr>
      <w:keepLines/>
      <w:keepNext/>
      <w:spacing w:before="280" w:after="290" w:line="376" w:lineRule="auto"/>
      <w:outlineLvl w:val="4"/>
    </w:pPr>
    <w:rPr>
      <w:b/>
      <w:bCs/>
      <w:sz w:val="28"/>
      <w:szCs w:val="28"/>
    </w:rPr>
  </w:style>
  <w:style w:type="paragraph" w:styleId="1115" w:customStyle="1">
    <w:name w:val="标题 611"/>
    <w:basedOn w:val="892"/>
    <w:next w:val="892"/>
    <w:link w:val="1127"/>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116" w:customStyle="1">
    <w:name w:val="标题 71"/>
    <w:basedOn w:val="892"/>
    <w:next w:val="892"/>
    <w:link w:val="1128"/>
    <w:uiPriority w:val="0"/>
    <w:qFormat/>
    <w:pPr>
      <w:numPr>
        <w:ilvl w:val="6"/>
        <w:numId w:val="1"/>
      </w:numPr>
      <w:keepLines/>
      <w:keepNext/>
      <w:spacing w:before="240" w:after="64" w:line="320" w:lineRule="auto"/>
      <w:outlineLvl w:val="6"/>
    </w:pPr>
    <w:rPr>
      <w:b/>
      <w:bCs/>
      <w:sz w:val="24"/>
    </w:rPr>
  </w:style>
  <w:style w:type="paragraph" w:styleId="1117" w:customStyle="1">
    <w:name w:val="标题 81"/>
    <w:basedOn w:val="892"/>
    <w:next w:val="892"/>
    <w:link w:val="1129"/>
    <w:uiPriority w:val="0"/>
    <w:qFormat/>
    <w:pPr>
      <w:numPr>
        <w:ilvl w:val="7"/>
        <w:numId w:val="1"/>
      </w:numPr>
      <w:keepLines/>
      <w:keepNext/>
      <w:spacing w:before="240" w:after="64" w:line="320" w:lineRule="auto"/>
      <w:outlineLvl w:val="7"/>
    </w:pPr>
    <w:rPr>
      <w:rFonts w:ascii="Arial" w:hAnsi="Arial" w:eastAsia="黑体"/>
      <w:sz w:val="24"/>
    </w:rPr>
  </w:style>
  <w:style w:type="paragraph" w:styleId="1118" w:customStyle="1">
    <w:name w:val="标题 91"/>
    <w:basedOn w:val="892"/>
    <w:next w:val="892"/>
    <w:link w:val="113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19" w:customStyle="1">
    <w:name w:val="默认段落字体11"/>
    <w:uiPriority w:val="1"/>
    <w:unhideWhenUsed/>
    <w:qFormat/>
  </w:style>
  <w:style w:type="table" w:styleId="1120" w:customStyle="1">
    <w:name w:val="普通表格1"/>
    <w:uiPriority w:val="99"/>
    <w:unhideWhenUsed/>
    <w:qFormat/>
    <w:tblPr>
      <w:tblCellMar>
        <w:left w:w="0" w:type="dxa"/>
        <w:top w:w="0" w:type="dxa"/>
        <w:right w:w="0" w:type="dxa"/>
        <w:bottom w:w="0" w:type="dxa"/>
      </w:tblCellMar>
    </w:tblPr>
  </w:style>
  <w:style w:type="paragraph" w:styleId="1121" w:customStyle="1">
    <w:name w:val="标题二、"/>
    <w:basedOn w:val="892"/>
    <w:uiPriority w:val="99"/>
    <w:qFormat/>
    <w:pPr>
      <w:ind w:firstLine="200"/>
      <w:spacing w:line="360" w:lineRule="auto"/>
      <w:outlineLvl w:val="2"/>
    </w:pPr>
    <w:rPr>
      <w:b/>
    </w:rPr>
  </w:style>
  <w:style w:type="character" w:styleId="1122" w:customStyle="1">
    <w:name w:val="标题 1 Char"/>
    <w:link w:val="1104"/>
    <w:uiPriority w:val="0"/>
    <w:qFormat/>
    <w:rPr>
      <w:rFonts w:ascii="Times New Roman" w:hAnsi="Times New Roman" w:eastAsia="宋体" w:cs="Times New Roman"/>
      <w:b/>
      <w:sz w:val="44"/>
      <w:szCs w:val="20"/>
    </w:rPr>
  </w:style>
  <w:style w:type="character" w:styleId="1123" w:customStyle="1">
    <w:name w:val="标题 2 Char"/>
    <w:link w:val="1105"/>
    <w:uiPriority w:val="0"/>
    <w:qFormat/>
    <w:rPr>
      <w:rFonts w:ascii="Arial" w:hAnsi="Arial" w:eastAsia="黑体" w:cs="Times New Roman"/>
      <w:b/>
      <w:bCs/>
      <w:sz w:val="32"/>
      <w:szCs w:val="32"/>
    </w:rPr>
  </w:style>
  <w:style w:type="character" w:styleId="1124" w:customStyle="1">
    <w:name w:val="标题 3 Char"/>
    <w:link w:val="1106"/>
    <w:uiPriority w:val="0"/>
    <w:qFormat/>
    <w:rPr>
      <w:rFonts w:ascii="Times New Roman" w:hAnsi="Times New Roman" w:eastAsia="宋体" w:cs="Times New Roman"/>
      <w:b/>
      <w:bCs/>
      <w:sz w:val="30"/>
      <w:szCs w:val="32"/>
    </w:rPr>
  </w:style>
  <w:style w:type="character" w:styleId="1125" w:customStyle="1">
    <w:name w:val="标题 4 Char"/>
    <w:link w:val="1107"/>
    <w:uiPriority w:val="0"/>
    <w:qFormat/>
    <w:rPr>
      <w:rFonts w:ascii="Arial" w:hAnsi="Arial" w:eastAsia="黑体" w:cs="Times New Roman"/>
      <w:b/>
      <w:bCs/>
      <w:sz w:val="28"/>
      <w:szCs w:val="28"/>
    </w:rPr>
  </w:style>
  <w:style w:type="character" w:styleId="1126" w:customStyle="1">
    <w:name w:val="标题 5 Char"/>
    <w:link w:val="1114"/>
    <w:uiPriority w:val="0"/>
    <w:qFormat/>
    <w:rPr>
      <w:rFonts w:ascii="Times New Roman" w:hAnsi="Times New Roman" w:eastAsia="宋体" w:cs="Times New Roman"/>
      <w:b/>
      <w:bCs/>
      <w:sz w:val="28"/>
      <w:szCs w:val="28"/>
    </w:rPr>
  </w:style>
  <w:style w:type="character" w:styleId="1127" w:customStyle="1">
    <w:name w:val="标题 6 Char"/>
    <w:link w:val="1115"/>
    <w:uiPriority w:val="0"/>
    <w:qFormat/>
    <w:rPr>
      <w:rFonts w:ascii="Arial" w:hAnsi="Arial" w:eastAsia="黑体" w:cs="Times New Roman"/>
      <w:b/>
      <w:bCs/>
      <w:sz w:val="24"/>
      <w:szCs w:val="24"/>
    </w:rPr>
  </w:style>
  <w:style w:type="character" w:styleId="1128" w:customStyle="1">
    <w:name w:val="标题 7 Char"/>
    <w:link w:val="1116"/>
    <w:uiPriority w:val="0"/>
    <w:qFormat/>
    <w:rPr>
      <w:rFonts w:ascii="Times New Roman" w:hAnsi="Times New Roman" w:eastAsia="宋体" w:cs="Times New Roman"/>
      <w:b/>
      <w:bCs/>
      <w:sz w:val="24"/>
      <w:szCs w:val="24"/>
    </w:rPr>
  </w:style>
  <w:style w:type="character" w:styleId="1129" w:customStyle="1">
    <w:name w:val="标题 8 Char"/>
    <w:link w:val="1117"/>
    <w:uiPriority w:val="0"/>
    <w:qFormat/>
    <w:rPr>
      <w:rFonts w:ascii="Arial" w:hAnsi="Arial" w:eastAsia="黑体" w:cs="Times New Roman"/>
      <w:sz w:val="24"/>
      <w:szCs w:val="24"/>
    </w:rPr>
  </w:style>
  <w:style w:type="character" w:styleId="1130" w:customStyle="1">
    <w:name w:val="标题 9 Char"/>
    <w:link w:val="1118"/>
    <w:uiPriority w:val="0"/>
    <w:qFormat/>
    <w:rPr>
      <w:rFonts w:ascii="Arial" w:hAnsi="Arial" w:eastAsia="黑体" w:cs="Times New Roman"/>
      <w:szCs w:val="21"/>
    </w:rPr>
  </w:style>
  <w:style w:type="paragraph" w:styleId="1131" w:customStyle="1">
    <w:name w:val="列表 31"/>
    <w:basedOn w:val="892"/>
    <w:uiPriority w:val="0"/>
    <w:qFormat/>
    <w:pPr>
      <w:contextualSpacing/>
      <w:ind w:left="100" w:hanging="200"/>
    </w:pPr>
  </w:style>
  <w:style w:type="paragraph" w:styleId="1132" w:customStyle="1">
    <w:name w:val="注释标题1"/>
    <w:basedOn w:val="892"/>
    <w:next w:val="892"/>
    <w:link w:val="1133"/>
    <w:uiPriority w:val="0"/>
    <w:qFormat/>
    <w:pPr>
      <w:ind w:firstLine="480"/>
      <w:jc w:val="center"/>
      <w:spacing w:line="360" w:lineRule="auto"/>
    </w:pPr>
    <w:rPr>
      <w:sz w:val="20"/>
      <w:lang w:val="zh-CN"/>
    </w:rPr>
  </w:style>
  <w:style w:type="character" w:styleId="1133" w:customStyle="1">
    <w:name w:val="注释标题 Char"/>
    <w:link w:val="1132"/>
    <w:uiPriority w:val="0"/>
    <w:qFormat/>
    <w:rPr>
      <w:rFonts w:ascii="Times New Roman" w:hAnsi="Times New Roman" w:eastAsia="宋体" w:cs="Times New Roman"/>
      <w:szCs w:val="24"/>
      <w:lang w:val="zh-CN"/>
    </w:rPr>
  </w:style>
  <w:style w:type="paragraph" w:styleId="1134" w:customStyle="1">
    <w:name w:val="列表编号1"/>
    <w:basedOn w:val="892"/>
    <w:uiPriority w:val="0"/>
    <w:qFormat/>
    <w:pPr>
      <w:numPr>
        <w:ilvl w:val="0"/>
        <w:numId w:val="2"/>
      </w:numPr>
      <w:contextualSpacing/>
    </w:pPr>
  </w:style>
  <w:style w:type="paragraph" w:styleId="1135" w:customStyle="1">
    <w:name w:val="正文缩进1"/>
    <w:basedOn w:val="892"/>
    <w:next w:val="892"/>
    <w:link w:val="1136"/>
    <w:uiPriority w:val="0"/>
    <w:qFormat/>
    <w:pPr>
      <w:ind w:firstLine="420"/>
    </w:pPr>
    <w:rPr>
      <w:sz w:val="20"/>
    </w:rPr>
  </w:style>
  <w:style w:type="character" w:styleId="1136" w:customStyle="1">
    <w:name w:val="正文缩进 Char"/>
    <w:link w:val="1135"/>
    <w:uiPriority w:val="0"/>
    <w:qFormat/>
    <w:rPr>
      <w:rFonts w:ascii="Times New Roman" w:hAnsi="Times New Roman" w:eastAsia="宋体" w:cs="Times New Roman"/>
      <w:szCs w:val="24"/>
    </w:rPr>
  </w:style>
  <w:style w:type="paragraph" w:styleId="1137" w:customStyle="1">
    <w:name w:val="题注11"/>
    <w:basedOn w:val="892"/>
    <w:next w:val="892"/>
    <w:link w:val="1138"/>
    <w:uiPriority w:val="0"/>
    <w:qFormat/>
    <w:rPr>
      <w:rFonts w:ascii="Arial" w:hAnsi="Arial" w:eastAsia="黑体"/>
      <w:sz w:val="20"/>
      <w:szCs w:val="20"/>
    </w:rPr>
  </w:style>
  <w:style w:type="character" w:styleId="1138" w:customStyle="1">
    <w:name w:val="题注 Char"/>
    <w:link w:val="1137"/>
    <w:uiPriority w:val="0"/>
    <w:qFormat/>
    <w:rPr>
      <w:rFonts w:ascii="Arial" w:hAnsi="Arial" w:eastAsia="黑体" w:cs="Times New Roman"/>
      <w:sz w:val="20"/>
      <w:szCs w:val="20"/>
    </w:rPr>
  </w:style>
  <w:style w:type="paragraph" w:styleId="1139" w:customStyle="1">
    <w:name w:val="文档结构图1"/>
    <w:basedOn w:val="892"/>
    <w:link w:val="1140"/>
    <w:uiPriority w:val="0"/>
    <w:qFormat/>
    <w:pPr>
      <w:shd w:val="clear" w:color="auto" w:fill="000080"/>
    </w:pPr>
    <w:rPr>
      <w:sz w:val="20"/>
    </w:rPr>
  </w:style>
  <w:style w:type="character" w:styleId="1140" w:customStyle="1">
    <w:name w:val="文档结构图 Char"/>
    <w:link w:val="1139"/>
    <w:uiPriority w:val="0"/>
    <w:qFormat/>
    <w:rPr>
      <w:rFonts w:ascii="Times New Roman" w:hAnsi="Times New Roman" w:eastAsia="宋体" w:cs="Times New Roman"/>
      <w:szCs w:val="24"/>
      <w:shd w:val="clear" w:color="auto" w:fill="000080"/>
    </w:rPr>
  </w:style>
  <w:style w:type="paragraph" w:styleId="1141" w:customStyle="1">
    <w:name w:val="批注文字1"/>
    <w:basedOn w:val="892"/>
    <w:link w:val="1142"/>
    <w:uiPriority w:val="0"/>
    <w:qFormat/>
    <w:pPr>
      <w:jc w:val="left"/>
    </w:pPr>
    <w:rPr>
      <w:sz w:val="20"/>
    </w:rPr>
  </w:style>
  <w:style w:type="character" w:styleId="1142" w:customStyle="1">
    <w:name w:val="批注文字 Char"/>
    <w:link w:val="1141"/>
    <w:uiPriority w:val="0"/>
    <w:qFormat/>
    <w:rPr>
      <w:rFonts w:ascii="Times New Roman" w:hAnsi="Times New Roman" w:eastAsia="宋体" w:cs="Times New Roman"/>
      <w:szCs w:val="24"/>
    </w:rPr>
  </w:style>
  <w:style w:type="paragraph" w:styleId="1143" w:customStyle="1">
    <w:name w:val="正文文本 311"/>
    <w:basedOn w:val="892"/>
    <w:link w:val="1144"/>
    <w:uiPriority w:val="0"/>
    <w:qFormat/>
    <w:rPr>
      <w:rFonts w:ascii="宋体"/>
      <w:sz w:val="28"/>
      <w:szCs w:val="20"/>
    </w:rPr>
  </w:style>
  <w:style w:type="character" w:styleId="1144" w:customStyle="1">
    <w:name w:val="正文文本 3 Char"/>
    <w:link w:val="1143"/>
    <w:uiPriority w:val="0"/>
    <w:qFormat/>
    <w:rPr>
      <w:rFonts w:ascii="宋体" w:hAnsi="Times New Roman" w:eastAsia="宋体" w:cs="Times New Roman"/>
      <w:sz w:val="28"/>
      <w:szCs w:val="20"/>
    </w:rPr>
  </w:style>
  <w:style w:type="paragraph" w:styleId="1145" w:customStyle="1">
    <w:name w:val="正文文本1"/>
    <w:basedOn w:val="892"/>
    <w:next w:val="1146"/>
    <w:link w:val="1147"/>
    <w:uiPriority w:val="0"/>
    <w:qFormat/>
    <w:pPr>
      <w:jc w:val="left"/>
      <w:widowControl/>
    </w:pPr>
    <w:rPr>
      <w:sz w:val="20"/>
    </w:rPr>
  </w:style>
  <w:style w:type="paragraph" w:styleId="1146" w:customStyle="1">
    <w:name w:val="标题1"/>
    <w:basedOn w:val="892"/>
    <w:next w:val="892"/>
    <w:link w:val="1148"/>
    <w:uiPriority w:val="0"/>
    <w:qFormat/>
    <w:pPr>
      <w:jc w:val="center"/>
      <w:spacing w:before="240" w:after="60"/>
      <w:outlineLvl w:val="0"/>
    </w:pPr>
    <w:rPr>
      <w:rFonts w:ascii="Arial" w:hAnsi="Arial"/>
      <w:b/>
      <w:bCs/>
      <w:sz w:val="32"/>
      <w:szCs w:val="32"/>
    </w:rPr>
  </w:style>
  <w:style w:type="character" w:styleId="1147" w:customStyle="1">
    <w:name w:val="正文文本 Char"/>
    <w:link w:val="1145"/>
    <w:uiPriority w:val="0"/>
    <w:qFormat/>
    <w:rPr>
      <w:rFonts w:ascii="Times New Roman" w:hAnsi="Times New Roman" w:eastAsia="宋体" w:cs="Times New Roman"/>
      <w:szCs w:val="24"/>
    </w:rPr>
  </w:style>
  <w:style w:type="character" w:styleId="1148" w:customStyle="1">
    <w:name w:val="标题 Char"/>
    <w:link w:val="1146"/>
    <w:uiPriority w:val="0"/>
    <w:qFormat/>
    <w:rPr>
      <w:rFonts w:ascii="Arial" w:hAnsi="Arial" w:eastAsia="宋体" w:cs="Arial"/>
      <w:b/>
      <w:bCs/>
      <w:sz w:val="32"/>
      <w:szCs w:val="32"/>
    </w:rPr>
  </w:style>
  <w:style w:type="paragraph" w:styleId="1149" w:customStyle="1">
    <w:name w:val="正文文本缩进11"/>
    <w:basedOn w:val="892"/>
    <w:link w:val="1151"/>
    <w:uiPriority w:val="0"/>
    <w:qFormat/>
    <w:pPr>
      <w:ind w:firstLine="630"/>
    </w:pPr>
    <w:rPr>
      <w:sz w:val="20"/>
      <w:szCs w:val="20"/>
    </w:rPr>
  </w:style>
  <w:style w:type="paragraph" w:styleId="1150" w:customStyle="1">
    <w:name w:val="寄信人地址11"/>
    <w:basedOn w:val="892"/>
    <w:uiPriority w:val="99"/>
    <w:unhideWhenUsed/>
    <w:qFormat/>
    <w:rPr>
      <w:rFonts w:ascii="Arial" w:hAnsi="Arial"/>
    </w:rPr>
  </w:style>
  <w:style w:type="character" w:styleId="1151" w:customStyle="1">
    <w:name w:val="正文文本缩进 Char"/>
    <w:link w:val="1149"/>
    <w:uiPriority w:val="0"/>
    <w:qFormat/>
    <w:rPr>
      <w:rFonts w:ascii="Times New Roman" w:hAnsi="Times New Roman" w:eastAsia="宋体" w:cs="Times New Roman"/>
      <w:szCs w:val="20"/>
    </w:rPr>
  </w:style>
  <w:style w:type="paragraph" w:styleId="1152" w:customStyle="1">
    <w:name w:val="列表 21"/>
    <w:basedOn w:val="892"/>
    <w:uiPriority w:val="0"/>
    <w:qFormat/>
    <w:pPr>
      <w:ind w:left="100" w:hanging="200"/>
    </w:pPr>
    <w:rPr>
      <w:sz w:val="28"/>
    </w:rPr>
  </w:style>
  <w:style w:type="paragraph" w:styleId="1153" w:customStyle="1">
    <w:name w:val="文本块11"/>
    <w:basedOn w:val="892"/>
    <w:uiPriority w:val="0"/>
    <w:qFormat/>
    <w:pPr>
      <w:ind w:left="630" w:right="-609" w:firstLine="420"/>
      <w:jc w:val="left"/>
      <w:spacing w:line="360" w:lineRule="auto"/>
      <w:widowControl/>
    </w:pPr>
    <w:rPr>
      <w:rFonts w:hint="eastAsia" w:ascii="仿宋_GB2312" w:eastAsia="仿宋_GB2312"/>
      <w:sz w:val="24"/>
      <w:szCs w:val="20"/>
    </w:rPr>
  </w:style>
  <w:style w:type="paragraph" w:styleId="1154" w:customStyle="1">
    <w:name w:val="索引 41"/>
    <w:basedOn w:val="892"/>
    <w:next w:val="892"/>
    <w:uiPriority w:val="99"/>
    <w:unhideWhenUsed/>
    <w:qFormat/>
    <w:pPr>
      <w:ind w:left="600"/>
    </w:pPr>
    <w:rPr>
      <w:rFonts w:ascii="Calibri" w:hAnsi="Calibri"/>
      <w:szCs w:val="22"/>
    </w:rPr>
  </w:style>
  <w:style w:type="paragraph" w:styleId="1155" w:customStyle="1">
    <w:name w:val="目录 31"/>
    <w:basedOn w:val="892"/>
    <w:next w:val="892"/>
    <w:uiPriority w:val="0"/>
    <w:qFormat/>
    <w:pPr>
      <w:ind w:left="840"/>
    </w:pPr>
  </w:style>
  <w:style w:type="paragraph" w:styleId="1156" w:customStyle="1">
    <w:name w:val="纯文本1111"/>
    <w:basedOn w:val="892"/>
    <w:link w:val="1157"/>
    <w:uiPriority w:val="0"/>
    <w:qFormat/>
    <w:rPr>
      <w:rFonts w:ascii="宋体" w:hAnsi="Courier New"/>
      <w:sz w:val="24"/>
      <w:szCs w:val="20"/>
    </w:rPr>
  </w:style>
  <w:style w:type="character" w:styleId="1157" w:customStyle="1">
    <w:name w:val="纯文本 Char"/>
    <w:link w:val="1156"/>
    <w:uiPriority w:val="0"/>
    <w:qFormat/>
    <w:rPr>
      <w:rFonts w:ascii="宋体" w:hAnsi="Courier New" w:eastAsia="宋体" w:cs="Times New Roman"/>
      <w:sz w:val="24"/>
      <w:szCs w:val="20"/>
    </w:rPr>
  </w:style>
  <w:style w:type="paragraph" w:styleId="1158" w:customStyle="1">
    <w:name w:val="日期1"/>
    <w:basedOn w:val="892"/>
    <w:next w:val="892"/>
    <w:link w:val="1159"/>
    <w:uiPriority w:val="0"/>
    <w:qFormat/>
    <w:pPr>
      <w:ind w:left="100"/>
    </w:pPr>
    <w:rPr>
      <w:rFonts w:ascii="宋体" w:hAnsi="宋体"/>
      <w:b/>
      <w:bCs/>
      <w:sz w:val="30"/>
      <w:szCs w:val="20"/>
    </w:rPr>
  </w:style>
  <w:style w:type="character" w:styleId="1159" w:customStyle="1">
    <w:name w:val="日期 Char"/>
    <w:link w:val="1158"/>
    <w:uiPriority w:val="0"/>
    <w:qFormat/>
    <w:rPr>
      <w:rFonts w:ascii="宋体" w:hAnsi="宋体" w:eastAsia="宋体" w:cs="Times New Roman"/>
      <w:b/>
      <w:bCs/>
      <w:sz w:val="30"/>
      <w:szCs w:val="20"/>
    </w:rPr>
  </w:style>
  <w:style w:type="paragraph" w:styleId="1160" w:customStyle="1">
    <w:name w:val="正文文本缩进 21"/>
    <w:basedOn w:val="892"/>
    <w:link w:val="1161"/>
    <w:uiPriority w:val="0"/>
    <w:qFormat/>
    <w:pPr>
      <w:ind w:left="420"/>
      <w:spacing w:after="120" w:line="480" w:lineRule="auto"/>
    </w:pPr>
    <w:rPr>
      <w:sz w:val="20"/>
      <w:szCs w:val="20"/>
    </w:rPr>
  </w:style>
  <w:style w:type="character" w:styleId="1161" w:customStyle="1">
    <w:name w:val="正文文本缩进 2 Char"/>
    <w:link w:val="1160"/>
    <w:uiPriority w:val="0"/>
    <w:qFormat/>
    <w:rPr>
      <w:rFonts w:ascii="Times New Roman" w:hAnsi="Times New Roman" w:eastAsia="宋体" w:cs="Times New Roman"/>
      <w:szCs w:val="20"/>
    </w:rPr>
  </w:style>
  <w:style w:type="paragraph" w:styleId="1162" w:customStyle="1">
    <w:name w:val="批注框文本1"/>
    <w:basedOn w:val="892"/>
    <w:link w:val="1163"/>
    <w:uiPriority w:val="0"/>
    <w:qFormat/>
    <w:rPr>
      <w:sz w:val="18"/>
      <w:szCs w:val="18"/>
    </w:rPr>
  </w:style>
  <w:style w:type="character" w:styleId="1163" w:customStyle="1">
    <w:name w:val="批注框文本 Char"/>
    <w:link w:val="1162"/>
    <w:uiPriority w:val="0"/>
    <w:qFormat/>
    <w:rPr>
      <w:rFonts w:ascii="Times New Roman" w:hAnsi="Times New Roman" w:eastAsia="宋体" w:cs="Times New Roman"/>
      <w:sz w:val="18"/>
      <w:szCs w:val="18"/>
    </w:rPr>
  </w:style>
  <w:style w:type="paragraph" w:styleId="1164" w:customStyle="1">
    <w:name w:val="页脚11"/>
    <w:basedOn w:val="892"/>
    <w:link w:val="1165"/>
    <w:uiPriority w:val="99"/>
    <w:qFormat/>
    <w:pPr>
      <w:jc w:val="left"/>
      <w:tabs>
        <w:tab w:val="center" w:pos="4153" w:leader="none"/>
        <w:tab w:val="right" w:pos="8306" w:leader="none"/>
      </w:tabs>
    </w:pPr>
    <w:rPr>
      <w:sz w:val="18"/>
      <w:szCs w:val="20"/>
    </w:rPr>
  </w:style>
  <w:style w:type="character" w:styleId="1165" w:customStyle="1">
    <w:name w:val="页脚 Char"/>
    <w:link w:val="1164"/>
    <w:uiPriority w:val="99"/>
    <w:qFormat/>
    <w:rPr>
      <w:rFonts w:ascii="Times New Roman" w:hAnsi="Times New Roman" w:eastAsia="宋体" w:cs="Times New Roman"/>
      <w:sz w:val="18"/>
      <w:szCs w:val="20"/>
    </w:rPr>
  </w:style>
  <w:style w:type="paragraph" w:styleId="1166" w:customStyle="1">
    <w:name w:val="页眉11"/>
    <w:basedOn w:val="892"/>
    <w:link w:val="1167"/>
    <w:uiPriority w:val="99"/>
    <w:qFormat/>
    <w:pPr>
      <w:jc w:val="center"/>
      <w:tabs>
        <w:tab w:val="center" w:pos="4153" w:leader="none"/>
        <w:tab w:val="right" w:pos="8306" w:leader="none"/>
      </w:tabs>
      <w:pBdr>
        <w:bottom w:val="single" w:color="000000" w:sz="6" w:space="1"/>
      </w:pBdr>
    </w:pPr>
    <w:rPr>
      <w:sz w:val="18"/>
      <w:szCs w:val="18"/>
    </w:rPr>
  </w:style>
  <w:style w:type="character" w:styleId="1167" w:customStyle="1">
    <w:name w:val="页眉 Char"/>
    <w:link w:val="1166"/>
    <w:uiPriority w:val="99"/>
    <w:qFormat/>
    <w:rPr>
      <w:rFonts w:ascii="Times New Roman" w:hAnsi="Times New Roman" w:eastAsia="宋体" w:cs="Times New Roman"/>
      <w:sz w:val="18"/>
      <w:szCs w:val="18"/>
    </w:rPr>
  </w:style>
  <w:style w:type="paragraph" w:styleId="1168" w:customStyle="1">
    <w:name w:val="目录 111"/>
    <w:basedOn w:val="892"/>
    <w:next w:val="892"/>
    <w:uiPriority w:val="0"/>
    <w:qFormat/>
    <w:pPr>
      <w:spacing w:line="360" w:lineRule="auto"/>
      <w:tabs>
        <w:tab w:val="right" w:pos="9060" w:leader="dot"/>
      </w:tabs>
    </w:pPr>
  </w:style>
  <w:style w:type="paragraph" w:styleId="1169" w:customStyle="1">
    <w:name w:val="副标题1"/>
    <w:basedOn w:val="892"/>
    <w:next w:val="892"/>
    <w:link w:val="1170"/>
    <w:uiPriority w:val="0"/>
    <w:qFormat/>
    <w:pPr>
      <w:jc w:val="center"/>
      <w:spacing w:after="60"/>
      <w:widowControl/>
      <w:outlineLvl w:val="1"/>
    </w:pPr>
    <w:rPr>
      <w:rFonts w:ascii="Arial" w:hAnsi="Arial" w:eastAsia="黑体"/>
      <w:sz w:val="24"/>
      <w:lang w:eastAsia="en-US"/>
    </w:rPr>
  </w:style>
  <w:style w:type="character" w:styleId="1170" w:customStyle="1">
    <w:name w:val="副标题 Char"/>
    <w:link w:val="1169"/>
    <w:uiPriority w:val="0"/>
    <w:qFormat/>
    <w:rPr>
      <w:rFonts w:ascii="Arial" w:hAnsi="Arial" w:eastAsia="黑体" w:cs="Times New Roman"/>
      <w:sz w:val="24"/>
      <w:szCs w:val="24"/>
      <w:lang w:eastAsia="en-US"/>
    </w:rPr>
  </w:style>
  <w:style w:type="paragraph" w:styleId="1171" w:customStyle="1">
    <w:name w:val="正文文本缩进 31"/>
    <w:basedOn w:val="892"/>
    <w:link w:val="1172"/>
    <w:uiPriority w:val="0"/>
    <w:qFormat/>
    <w:pPr>
      <w:ind w:left="720"/>
    </w:pPr>
    <w:rPr>
      <w:sz w:val="20"/>
      <w:szCs w:val="20"/>
    </w:rPr>
  </w:style>
  <w:style w:type="character" w:styleId="1172" w:customStyle="1">
    <w:name w:val="正文文本缩进 3 Char"/>
    <w:link w:val="1171"/>
    <w:uiPriority w:val="0"/>
    <w:qFormat/>
    <w:rPr>
      <w:rFonts w:ascii="Times New Roman" w:hAnsi="Times New Roman" w:eastAsia="宋体" w:cs="Times New Roman"/>
      <w:szCs w:val="20"/>
    </w:rPr>
  </w:style>
  <w:style w:type="paragraph" w:styleId="1173" w:customStyle="1">
    <w:name w:val="目录 21"/>
    <w:basedOn w:val="892"/>
    <w:next w:val="892"/>
    <w:uiPriority w:val="0"/>
    <w:qFormat/>
    <w:pPr>
      <w:ind w:left="420"/>
      <w:tabs>
        <w:tab w:val="right" w:pos="9060" w:leader="dot"/>
      </w:tabs>
    </w:pPr>
  </w:style>
  <w:style w:type="paragraph" w:styleId="1174" w:customStyle="1">
    <w:name w:val="正文文本 21"/>
    <w:basedOn w:val="892"/>
    <w:link w:val="1175"/>
    <w:uiPriority w:val="0"/>
    <w:qFormat/>
    <w:pPr>
      <w:jc w:val="left"/>
      <w:widowControl/>
    </w:pPr>
    <w:rPr>
      <w:sz w:val="20"/>
    </w:rPr>
  </w:style>
  <w:style w:type="character" w:styleId="1175" w:customStyle="1">
    <w:name w:val="正文文本 2 Char"/>
    <w:link w:val="1174"/>
    <w:uiPriority w:val="0"/>
    <w:qFormat/>
    <w:rPr>
      <w:rFonts w:ascii="Times New Roman" w:hAnsi="Times New Roman" w:eastAsia="宋体" w:cs="Times New Roman"/>
      <w:szCs w:val="24"/>
    </w:rPr>
  </w:style>
  <w:style w:type="paragraph" w:styleId="1176" w:customStyle="1">
    <w:name w:val="列表接续 21"/>
    <w:basedOn w:val="892"/>
    <w:uiPriority w:val="0"/>
    <w:qFormat/>
    <w:pPr>
      <w:contextualSpacing/>
      <w:ind w:left="840"/>
      <w:spacing w:after="120"/>
    </w:pPr>
  </w:style>
  <w:style w:type="paragraph" w:styleId="1177" w:customStyle="1">
    <w:name w:val="信息标题1"/>
    <w:basedOn w:val="892"/>
    <w:link w:val="117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78" w:customStyle="1">
    <w:name w:val="信息标题 Char"/>
    <w:link w:val="1177"/>
    <w:uiPriority w:val="0"/>
    <w:qFormat/>
    <w:rPr>
      <w:rFonts w:ascii="Arial" w:hAnsi="Arial" w:eastAsia="宋体" w:cs="Times New Roman"/>
      <w:sz w:val="24"/>
      <w:szCs w:val="24"/>
      <w:shd w:val="pct20" w:color="auto" w:fill="auto"/>
    </w:rPr>
  </w:style>
  <w:style w:type="paragraph" w:styleId="1179" w:customStyle="1">
    <w:name w:val="普通(网站)1"/>
    <w:basedOn w:val="892"/>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80" w:customStyle="1">
    <w:name w:val="索引 11"/>
    <w:basedOn w:val="892"/>
    <w:next w:val="892"/>
    <w:uiPriority w:val="0"/>
    <w:qFormat/>
    <w:pPr>
      <w:spacing w:line="280" w:lineRule="exact"/>
    </w:pPr>
    <w:rPr>
      <w:color w:val="ff0000"/>
    </w:rPr>
  </w:style>
  <w:style w:type="paragraph" w:styleId="1181" w:customStyle="1">
    <w:name w:val="索引 21"/>
    <w:basedOn w:val="892"/>
    <w:next w:val="892"/>
    <w:uiPriority w:val="0"/>
    <w:qFormat/>
    <w:pPr>
      <w:ind w:left="200"/>
    </w:pPr>
    <w:rPr>
      <w:szCs w:val="21"/>
    </w:rPr>
  </w:style>
  <w:style w:type="paragraph" w:styleId="1182" w:customStyle="1">
    <w:name w:val="批注主题1"/>
    <w:basedOn w:val="1141"/>
    <w:next w:val="1141"/>
    <w:link w:val="1183"/>
    <w:uiPriority w:val="0"/>
    <w:qFormat/>
    <w:rPr>
      <w:b/>
      <w:bCs/>
      <w:szCs w:val="20"/>
    </w:rPr>
  </w:style>
  <w:style w:type="character" w:styleId="1183" w:customStyle="1">
    <w:name w:val="批注主题 Char"/>
    <w:link w:val="1182"/>
    <w:uiPriority w:val="0"/>
    <w:qFormat/>
    <w:rPr>
      <w:b/>
      <w:bCs/>
    </w:rPr>
  </w:style>
  <w:style w:type="paragraph" w:styleId="1184" w:customStyle="1">
    <w:name w:val="正文首行缩进1"/>
    <w:basedOn w:val="1145"/>
    <w:next w:val="892"/>
    <w:link w:val="1185"/>
    <w:uiPriority w:val="0"/>
    <w:qFormat/>
    <w:pPr>
      <w:ind w:firstLine="420"/>
      <w:jc w:val="both"/>
      <w:spacing w:after="120"/>
      <w:widowControl w:val="off"/>
    </w:pPr>
  </w:style>
  <w:style w:type="character" w:styleId="1185" w:customStyle="1">
    <w:name w:val="正文首行缩进 Char"/>
    <w:link w:val="1184"/>
    <w:uiPriority w:val="0"/>
    <w:qFormat/>
  </w:style>
  <w:style w:type="paragraph" w:styleId="1186" w:customStyle="1">
    <w:name w:val="正文首行缩进 211"/>
    <w:basedOn w:val="1149"/>
    <w:next w:val="892"/>
    <w:link w:val="1187"/>
    <w:uiPriority w:val="0"/>
    <w:unhideWhenUsed/>
    <w:qFormat/>
    <w:pPr>
      <w:ind w:left="420" w:firstLine="420"/>
      <w:spacing w:after="120"/>
    </w:pPr>
    <w:rPr>
      <w:szCs w:val="24"/>
    </w:rPr>
  </w:style>
  <w:style w:type="character" w:styleId="1187" w:customStyle="1">
    <w:name w:val="正文首行缩进 2 Char"/>
    <w:link w:val="1186"/>
    <w:uiPriority w:val="0"/>
    <w:semiHidden/>
    <w:qFormat/>
    <w:rPr>
      <w:szCs w:val="24"/>
    </w:rPr>
  </w:style>
  <w:style w:type="table" w:styleId="1188" w:customStyle="1">
    <w:name w:val="网格型1"/>
    <w:basedOn w:val="1120"/>
    <w:uiPriority w:val="59"/>
    <w:qFormat/>
    <w:pPr>
      <w:jc w:val="both"/>
      <w:widowControl w:val="off"/>
    </w:pPr>
    <w:tblPr>
      <w:tblCellMar>
        <w:left w:w="0" w:type="dxa"/>
        <w:top w:w="0" w:type="dxa"/>
        <w:right w:w="0" w:type="dxa"/>
        <w:bottom w:w="0" w:type="dxa"/>
      </w:tblCellMar>
    </w:tblPr>
  </w:style>
  <w:style w:type="character" w:styleId="1189" w:customStyle="1">
    <w:name w:val="要点1"/>
    <w:uiPriority w:val="22"/>
    <w:qFormat/>
    <w:rPr>
      <w:b/>
    </w:rPr>
  </w:style>
  <w:style w:type="character" w:styleId="1190" w:customStyle="1">
    <w:name w:val="页码11"/>
    <w:uiPriority w:val="0"/>
    <w:qFormat/>
  </w:style>
  <w:style w:type="character" w:styleId="1191" w:customStyle="1">
    <w:name w:val="已访问的超链接1"/>
    <w:uiPriority w:val="99"/>
    <w:qFormat/>
    <w:rPr>
      <w:color w:val="800080"/>
      <w:u w:val="none"/>
    </w:rPr>
  </w:style>
  <w:style w:type="character" w:styleId="1192" w:customStyle="1">
    <w:name w:val="强调1"/>
    <w:uiPriority w:val="0"/>
    <w:qFormat/>
    <w:rPr>
      <w:rFonts w:ascii="Arial" w:hAnsi="Arial" w:cs="Times New Roman"/>
      <w:b/>
      <w:i/>
      <w:iCs/>
    </w:rPr>
  </w:style>
  <w:style w:type="character" w:styleId="1193" w:customStyle="1">
    <w:name w:val="超链接1"/>
    <w:basedOn w:val="1194"/>
    <w:uiPriority w:val="99"/>
    <w:qFormat/>
    <w:rPr>
      <w:color w:val="0000ff"/>
      <w:u w:val="none"/>
    </w:rPr>
  </w:style>
  <w:style w:type="character" w:styleId="1194" w:customStyle="1">
    <w:name w:val="默认段落字体1"/>
    <w:uiPriority w:val="0"/>
    <w:qFormat/>
  </w:style>
  <w:style w:type="character" w:styleId="1195" w:customStyle="1">
    <w:name w:val="批注引用1"/>
    <w:uiPriority w:val="0"/>
    <w:qFormat/>
    <w:rPr>
      <w:sz w:val="21"/>
      <w:szCs w:val="21"/>
    </w:rPr>
  </w:style>
  <w:style w:type="character" w:styleId="1196" w:customStyle="1">
    <w:name w:val="正文文本 2 Char1"/>
    <w:uiPriority w:val="0"/>
    <w:qFormat/>
    <w:rPr>
      <w:rFonts w:ascii="Arial" w:hAnsi="Arial" w:eastAsia="宋体" w:cs="Times New Roman"/>
      <w:color w:val="ff00ff"/>
      <w:sz w:val="28"/>
      <w:szCs w:val="24"/>
      <w:lang w:eastAsia="en-US"/>
    </w:rPr>
  </w:style>
  <w:style w:type="paragraph" w:styleId="1197" w:customStyle="1">
    <w:name w:val="首行缩进"/>
    <w:basedOn w:val="1108"/>
    <w:uiPriority w:val="0"/>
    <w:qFormat/>
    <w:pPr>
      <w:ind w:firstLine="480"/>
    </w:pPr>
    <w:rPr>
      <w:szCs w:val="20"/>
      <w:lang w:val="zh-CN"/>
    </w:rPr>
  </w:style>
  <w:style w:type="paragraph" w:styleId="1198" w:customStyle="1">
    <w:name w:val="段"/>
    <w:next w:val="892"/>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99" w:customStyle="1">
    <w:name w:val="标题 Char1"/>
    <w:uiPriority w:val="0"/>
    <w:qFormat/>
    <w:rPr>
      <w:rFonts w:ascii="Cambria" w:hAnsi="Cambria" w:cs="Times New Roman"/>
      <w:b/>
      <w:bCs/>
      <w:sz w:val="32"/>
      <w:szCs w:val="32"/>
    </w:rPr>
  </w:style>
  <w:style w:type="character" w:styleId="1200" w:customStyle="1">
    <w:name w:val="正文文本_"/>
    <w:link w:val="1201"/>
    <w:uiPriority w:val="0"/>
    <w:qFormat/>
    <w:rPr>
      <w:rFonts w:ascii="MingLiU" w:hAnsi="MingLiU" w:eastAsia="MingLiU" w:cs="MingLiU"/>
      <w:spacing w:val="10"/>
      <w:sz w:val="30"/>
      <w:szCs w:val="30"/>
      <w:shd w:val="clear" w:color="auto" w:fill="ffffff"/>
    </w:rPr>
  </w:style>
  <w:style w:type="paragraph" w:styleId="1201" w:customStyle="1">
    <w:name w:val="正文文本4"/>
    <w:basedOn w:val="892"/>
    <w:link w:val="1200"/>
    <w:uiPriority w:val="0"/>
    <w:qFormat/>
    <w:pPr>
      <w:spacing w:line="630" w:lineRule="exact"/>
      <w:shd w:val="clear" w:color="auto" w:fill="ffffff"/>
    </w:pPr>
    <w:rPr>
      <w:rFonts w:ascii="MingLiU" w:hAnsi="MingLiU" w:eastAsia="MingLiU"/>
      <w:spacing w:val="10"/>
      <w:sz w:val="30"/>
      <w:szCs w:val="30"/>
    </w:rPr>
  </w:style>
  <w:style w:type="character" w:styleId="1202" w:customStyle="1">
    <w:name w:val="Quote Char"/>
    <w:link w:val="1203"/>
    <w:uiPriority w:val="0"/>
    <w:qFormat/>
    <w:rPr>
      <w:i/>
      <w:sz w:val="24"/>
      <w:szCs w:val="24"/>
      <w:lang w:eastAsia="en-US"/>
    </w:rPr>
  </w:style>
  <w:style w:type="paragraph" w:styleId="1203" w:customStyle="1">
    <w:name w:val="引用1"/>
    <w:basedOn w:val="892"/>
    <w:next w:val="892"/>
    <w:link w:val="1202"/>
    <w:uiPriority w:val="0"/>
    <w:qFormat/>
    <w:pPr>
      <w:jc w:val="left"/>
      <w:widowControl/>
    </w:pPr>
    <w:rPr>
      <w:i/>
      <w:sz w:val="24"/>
      <w:lang w:eastAsia="en-US"/>
    </w:rPr>
  </w:style>
  <w:style w:type="character" w:styleId="1204" w:customStyle="1">
    <w:name w:val="Char Char5"/>
    <w:uiPriority w:val="0"/>
    <w:qFormat/>
    <w:rPr>
      <w:rFonts w:ascii="宋体" w:hAnsi="Courier New" w:eastAsia="宋体" w:cs="Courier New"/>
      <w:sz w:val="21"/>
      <w:szCs w:val="21"/>
      <w:lang w:val="en-US" w:eastAsia="zh-CN" w:bidi="ar-SA"/>
    </w:rPr>
  </w:style>
  <w:style w:type="character" w:styleId="1205" w:customStyle="1">
    <w:name w:val="不明显强调1"/>
    <w:uiPriority w:val="0"/>
    <w:qFormat/>
    <w:rPr>
      <w:i/>
      <w:color w:val="5a5a5a"/>
    </w:rPr>
  </w:style>
  <w:style w:type="character" w:styleId="1206" w:customStyle="1">
    <w:name w:val="明显参考1"/>
    <w:uiPriority w:val="0"/>
    <w:qFormat/>
    <w:rPr>
      <w:rFonts w:cs="Times New Roman"/>
      <w:b/>
      <w:sz w:val="24"/>
      <w:u w:val="single"/>
    </w:rPr>
  </w:style>
  <w:style w:type="character" w:styleId="1207" w:customStyle="1">
    <w:name w:val="正文文本1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208" w:customStyle="1">
    <w:name w:val="副标题 Char1"/>
    <w:uiPriority w:val="0"/>
    <w:qFormat/>
    <w:rPr>
      <w:rFonts w:ascii="Cambria" w:hAnsi="Cambria" w:cs="Times New Roman"/>
      <w:b/>
      <w:bCs/>
      <w:sz w:val="32"/>
      <w:szCs w:val="32"/>
    </w:rPr>
  </w:style>
  <w:style w:type="character" w:styleId="1209" w:customStyle="1">
    <w:name w:val="明显强调1"/>
    <w:uiPriority w:val="0"/>
    <w:qFormat/>
    <w:rPr>
      <w:rFonts w:cs="Times New Roman"/>
      <w:b/>
      <w:i/>
      <w:sz w:val="24"/>
      <w:szCs w:val="24"/>
      <w:u w:val="single"/>
    </w:rPr>
  </w:style>
  <w:style w:type="character" w:styleId="1210" w:customStyle="1">
    <w:name w:val="书籍标题1"/>
    <w:uiPriority w:val="0"/>
    <w:qFormat/>
    <w:rPr>
      <w:rFonts w:ascii="Arial" w:hAnsi="Arial" w:eastAsia="黑体" w:cs="Times New Roman"/>
      <w:b/>
      <w:i/>
      <w:sz w:val="24"/>
      <w:szCs w:val="24"/>
    </w:rPr>
  </w:style>
  <w:style w:type="character" w:styleId="1211" w:customStyle="1">
    <w:name w:val="f141"/>
    <w:uiPriority w:val="0"/>
    <w:qFormat/>
    <w:rPr>
      <w:sz w:val="21"/>
      <w:szCs w:val="21"/>
    </w:rPr>
  </w:style>
  <w:style w:type="character" w:styleId="1212" w:customStyle="1">
    <w:name w:val="普通文字1 Char"/>
    <w:uiPriority w:val="0"/>
    <w:qFormat/>
    <w:rPr>
      <w:rFonts w:ascii="宋体" w:hAnsi="Courier New" w:eastAsia="宋体"/>
      <w:sz w:val="21"/>
      <w:lang w:val="en-US" w:eastAsia="zh-CN" w:bidi="ar-SA"/>
    </w:rPr>
  </w:style>
  <w:style w:type="character" w:styleId="1213" w:customStyle="1">
    <w:name w:val="Style Heading 1H1SAHeading 1卷标题h1标书1L1boc1st levelSection ... Char"/>
    <w:link w:val="1214"/>
    <w:uiPriority w:val="0"/>
    <w:qFormat/>
    <w:rPr>
      <w:rFonts w:ascii="Arial" w:hAnsi="Arial" w:eastAsia="黑体" w:cs="Arial"/>
      <w:b/>
      <w:bCs/>
      <w:sz w:val="28"/>
      <w:szCs w:val="28"/>
    </w:rPr>
  </w:style>
  <w:style w:type="paragraph" w:styleId="1214" w:customStyle="1">
    <w:name w:val="Style Heading 1H1SAHeading 1卷标题h1标书1L1boc1st levelSection ..."/>
    <w:basedOn w:val="1104"/>
    <w:link w:val="1213"/>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15" w:customStyle="1">
    <w:name w:val="Intense Quote Char"/>
    <w:link w:val="1216"/>
    <w:uiPriority w:val="0"/>
    <w:qFormat/>
    <w:rPr>
      <w:b/>
      <w:i/>
      <w:sz w:val="24"/>
      <w:lang w:eastAsia="en-US"/>
    </w:rPr>
  </w:style>
  <w:style w:type="paragraph" w:styleId="1216" w:customStyle="1">
    <w:name w:val="明显引用1"/>
    <w:basedOn w:val="892"/>
    <w:next w:val="892"/>
    <w:link w:val="1215"/>
    <w:uiPriority w:val="0"/>
    <w:qFormat/>
    <w:pPr>
      <w:ind w:left="720" w:right="720"/>
      <w:jc w:val="left"/>
      <w:widowControl/>
    </w:pPr>
    <w:rPr>
      <w:b/>
      <w:i/>
      <w:sz w:val="24"/>
      <w:szCs w:val="20"/>
      <w:lang w:eastAsia="en-US"/>
    </w:rPr>
  </w:style>
  <w:style w:type="character" w:styleId="1217" w:customStyle="1">
    <w:name w:val="不明显参考1"/>
    <w:uiPriority w:val="0"/>
    <w:qFormat/>
    <w:rPr>
      <w:rFonts w:cs="Times New Roman"/>
      <w:sz w:val="24"/>
      <w:szCs w:val="24"/>
      <w:u w:val="single"/>
    </w:rPr>
  </w:style>
  <w:style w:type="paragraph" w:styleId="1218" w:customStyle="1">
    <w:name w:val="默认段落字体 Para Char Char Char Char Char Char Char Char Char1 Char Char Char Char"/>
    <w:basedOn w:val="892"/>
    <w:uiPriority w:val="0"/>
    <w:qFormat/>
    <w:rPr>
      <w:rFonts w:ascii="Tahoma" w:hAnsi="Tahoma"/>
      <w:sz w:val="24"/>
      <w:szCs w:val="20"/>
    </w:rPr>
  </w:style>
  <w:style w:type="paragraph" w:styleId="1219" w:customStyle="1">
    <w:name w:val="Char Char Char Char Char Char Char Char Char1 Char"/>
    <w:basedOn w:val="1139"/>
    <w:uiPriority w:val="0"/>
    <w:qFormat/>
    <w:pPr>
      <w:spacing w:line="360" w:lineRule="auto"/>
    </w:pPr>
    <w:rPr>
      <w:szCs w:val="20"/>
    </w:rPr>
  </w:style>
  <w:style w:type="paragraph" w:styleId="1220" w:customStyle="1">
    <w:name w:val="普通正文"/>
    <w:basedOn w:val="892"/>
    <w:uiPriority w:val="0"/>
    <w:qFormat/>
    <w:pPr>
      <w:ind w:firstLine="480"/>
      <w:jc w:val="left"/>
      <w:spacing w:before="120" w:after="120" w:line="360" w:lineRule="auto"/>
    </w:pPr>
    <w:rPr>
      <w:rFonts w:ascii="Arial" w:hAnsi="Arial"/>
      <w:sz w:val="24"/>
    </w:rPr>
  </w:style>
  <w:style w:type="paragraph" w:styleId="1221" w:customStyle="1">
    <w:name w:val="样式1"/>
    <w:basedOn w:val="1104"/>
    <w:uiPriority w:val="0"/>
    <w:qFormat/>
    <w:pPr>
      <w:keepLines w:val="0"/>
      <w:spacing w:before="0" w:after="0" w:line="240" w:lineRule="auto"/>
    </w:pPr>
    <w:rPr>
      <w:bCs/>
      <w:szCs w:val="24"/>
    </w:rPr>
  </w:style>
  <w:style w:type="paragraph" w:styleId="1222" w:customStyle="1">
    <w:name w:val="Char Char"/>
    <w:basedOn w:val="892"/>
    <w:uiPriority w:val="0"/>
    <w:qFormat/>
    <w:rPr>
      <w:rFonts w:ascii="Tahoma" w:hAnsi="Tahoma"/>
      <w:sz w:val="24"/>
      <w:szCs w:val="20"/>
    </w:rPr>
  </w:style>
  <w:style w:type="paragraph" w:styleId="1223" w:customStyle="1">
    <w:name w:val="Char Char1"/>
    <w:basedOn w:val="892"/>
    <w:uiPriority w:val="0"/>
    <w:qFormat/>
    <w:pPr>
      <w:jc w:val="left"/>
      <w:spacing w:after="160" w:line="240" w:lineRule="exact"/>
      <w:widowControl/>
    </w:pPr>
    <w:rPr>
      <w:rFonts w:ascii="Verdana" w:hAnsi="Verdana" w:eastAsia="仿宋_GB2312"/>
      <w:sz w:val="24"/>
      <w:szCs w:val="20"/>
      <w:lang w:eastAsia="en-US"/>
    </w:rPr>
  </w:style>
  <w:style w:type="paragraph" w:styleId="1224" w:customStyle="1">
    <w:name w:val="Char Char Char1 Char1"/>
    <w:basedOn w:val="892"/>
    <w:uiPriority w:val="0"/>
    <w:qFormat/>
    <w:pPr>
      <w:ind w:firstLine="200"/>
      <w:spacing w:line="360" w:lineRule="auto"/>
    </w:pPr>
    <w:rPr>
      <w:rFonts w:ascii="宋体" w:hAnsi="宋体" w:cs="宋体"/>
      <w:sz w:val="24"/>
    </w:rPr>
  </w:style>
  <w:style w:type="paragraph" w:styleId="1225" w:customStyle="1">
    <w:name w:val="Char"/>
    <w:basedOn w:val="892"/>
    <w:uiPriority w:val="0"/>
    <w:qFormat/>
    <w:pPr>
      <w:ind w:firstLine="288"/>
      <w:tabs>
        <w:tab w:val="left" w:pos="1008" w:leader="none"/>
      </w:tabs>
    </w:pPr>
    <w:rPr>
      <w:sz w:val="24"/>
    </w:rPr>
  </w:style>
  <w:style w:type="paragraph" w:styleId="1226" w:customStyle="1">
    <w:name w:val="图表题注"/>
    <w:basedOn w:val="1137"/>
    <w:next w:val="1135"/>
    <w:uiPriority w:val="0"/>
    <w:qFormat/>
    <w:pPr>
      <w:jc w:val="center"/>
      <w:spacing w:before="152" w:after="160"/>
    </w:pPr>
    <w:rPr>
      <w:rFonts w:ascii="Times New Roman" w:hAnsi="Times New Roman" w:eastAsia="宋体"/>
      <w:sz w:val="21"/>
    </w:rPr>
  </w:style>
  <w:style w:type="paragraph" w:styleId="1227" w:customStyle="1">
    <w:name w:val="Char11"/>
    <w:basedOn w:val="892"/>
    <w:uiPriority w:val="0"/>
    <w:qFormat/>
  </w:style>
  <w:style w:type="paragraph" w:styleId="1228" w:customStyle="1">
    <w:name w:val="Char Char Char Char"/>
    <w:basedOn w:val="892"/>
    <w:uiPriority w:val="0"/>
    <w:qFormat/>
    <w:rPr>
      <w:szCs w:val="21"/>
    </w:rPr>
  </w:style>
  <w:style w:type="paragraph" w:styleId="1229" w:customStyle="1">
    <w:name w:val="Char Char1 Char Char Char Char Char Char Char Char Char Char"/>
    <w:basedOn w:val="892"/>
    <w:uiPriority w:val="0"/>
    <w:qFormat/>
    <w:pPr>
      <w:jc w:val="left"/>
      <w:spacing w:after="160" w:line="240" w:lineRule="exact"/>
      <w:widowControl/>
    </w:pPr>
    <w:rPr>
      <w:rFonts w:ascii="Verdana" w:hAnsi="Verdana" w:eastAsia="仿宋_GB2312"/>
      <w:sz w:val="24"/>
      <w:szCs w:val="20"/>
      <w:lang w:eastAsia="en-US"/>
    </w:rPr>
  </w:style>
  <w:style w:type="paragraph" w:styleId="1230" w:customStyle="1">
    <w:name w:val="Char Char Char Char Char Char Char"/>
    <w:basedOn w:val="892"/>
    <w:uiPriority w:val="0"/>
    <w:qFormat/>
    <w:pPr>
      <w:ind w:left="432" w:hanging="432"/>
      <w:tabs>
        <w:tab w:val="left" w:pos="432" w:leader="none"/>
      </w:tabs>
    </w:pPr>
    <w:rPr>
      <w:rFonts w:ascii="Tahoma" w:hAnsi="Tahoma"/>
      <w:sz w:val="24"/>
      <w:szCs w:val="20"/>
    </w:rPr>
  </w:style>
  <w:style w:type="paragraph" w:styleId="1231" w:customStyle="1">
    <w:name w:val="Char Char Char1 Char4"/>
    <w:basedOn w:val="892"/>
    <w:uiPriority w:val="0"/>
    <w:qFormat/>
    <w:pPr>
      <w:ind w:firstLine="200"/>
      <w:spacing w:line="360" w:lineRule="auto"/>
    </w:pPr>
    <w:rPr>
      <w:rFonts w:ascii="宋体" w:hAnsi="宋体" w:cs="宋体"/>
      <w:sz w:val="24"/>
    </w:rPr>
  </w:style>
  <w:style w:type="paragraph" w:styleId="1232" w:customStyle="1">
    <w:name w:val="表内文字"/>
    <w:basedOn w:val="892"/>
    <w:uiPriority w:val="0"/>
    <w:qFormat/>
    <w:pPr>
      <w:jc w:val="center"/>
      <w:spacing w:line="360" w:lineRule="auto"/>
      <w:tabs>
        <w:tab w:val="left" w:pos="1418" w:leader="none"/>
      </w:tabs>
    </w:pPr>
    <w:rPr>
      <w:rFonts w:ascii="仿宋_GB2312" w:eastAsia="仿宋_GB2312"/>
      <w:spacing w:val="-20"/>
      <w:sz w:val="24"/>
    </w:rPr>
  </w:style>
  <w:style w:type="paragraph" w:styleId="1233" w:customStyle="1">
    <w:name w:val="Char Char Char1 Char5"/>
    <w:basedOn w:val="892"/>
    <w:uiPriority w:val="0"/>
    <w:qFormat/>
    <w:pPr>
      <w:ind w:firstLine="200"/>
      <w:spacing w:line="360" w:lineRule="auto"/>
    </w:pPr>
    <w:rPr>
      <w:rFonts w:ascii="宋体" w:hAnsi="宋体" w:cs="宋体"/>
      <w:sz w:val="24"/>
    </w:rPr>
  </w:style>
  <w:style w:type="paragraph" w:styleId="1234" w:customStyle="1">
    <w:name w:val="Proposals body"/>
    <w:basedOn w:val="892"/>
    <w:next w:val="892"/>
    <w:uiPriority w:val="0"/>
    <w:qFormat/>
    <w:pPr>
      <w:jc w:val="left"/>
      <w:spacing w:line="360" w:lineRule="auto"/>
      <w:widowControl/>
    </w:pPr>
    <w:rPr>
      <w:rFonts w:ascii="宋体"/>
      <w:color w:val="000000"/>
      <w:sz w:val="24"/>
      <w:szCs w:val="20"/>
    </w:rPr>
  </w:style>
  <w:style w:type="paragraph" w:styleId="1235" w:customStyle="1">
    <w:name w:val="Char Char Char1 Char6"/>
    <w:basedOn w:val="892"/>
    <w:uiPriority w:val="0"/>
    <w:qFormat/>
    <w:pPr>
      <w:ind w:firstLine="200"/>
      <w:spacing w:line="360" w:lineRule="auto"/>
    </w:pPr>
    <w:rPr>
      <w:rFonts w:ascii="宋体" w:hAnsi="宋体" w:cs="宋体"/>
      <w:sz w:val="24"/>
    </w:rPr>
  </w:style>
  <w:style w:type="paragraph" w:styleId="1236" w:customStyle="1">
    <w:name w:val="Char Char Char1 Char"/>
    <w:basedOn w:val="892"/>
    <w:uiPriority w:val="0"/>
    <w:qFormat/>
    <w:pPr>
      <w:ind w:firstLine="200"/>
      <w:spacing w:line="360" w:lineRule="auto"/>
    </w:pPr>
    <w:rPr>
      <w:rFonts w:ascii="宋体" w:hAnsi="宋体" w:cs="宋体"/>
      <w:sz w:val="24"/>
    </w:rPr>
  </w:style>
  <w:style w:type="paragraph" w:styleId="1237"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38" w:customStyle="1">
    <w:name w:val="Char Char Char1 Char3"/>
    <w:basedOn w:val="892"/>
    <w:uiPriority w:val="0"/>
    <w:qFormat/>
    <w:pPr>
      <w:ind w:firstLine="200"/>
      <w:spacing w:line="360" w:lineRule="auto"/>
    </w:pPr>
    <w:rPr>
      <w:rFonts w:ascii="宋体" w:hAnsi="宋体" w:cs="宋体"/>
      <w:sz w:val="24"/>
    </w:rPr>
  </w:style>
  <w:style w:type="paragraph" w:styleId="1239" w:customStyle="1">
    <w:name w:val="Char Char Char1 Char2"/>
    <w:basedOn w:val="892"/>
    <w:uiPriority w:val="0"/>
    <w:qFormat/>
    <w:pPr>
      <w:ind w:firstLine="200"/>
      <w:spacing w:line="360" w:lineRule="auto"/>
    </w:pPr>
    <w:rPr>
      <w:rFonts w:ascii="宋体" w:hAnsi="宋体" w:cs="宋体"/>
      <w:sz w:val="24"/>
    </w:rPr>
  </w:style>
  <w:style w:type="paragraph" w:styleId="1240" w:customStyle="1">
    <w:name w:val="_Style 49"/>
    <w:basedOn w:val="892"/>
    <w:next w:val="1156"/>
    <w:uiPriority w:val="0"/>
    <w:qFormat/>
    <w:rPr>
      <w:rFonts w:ascii="宋体" w:hAnsi="Courier New" w:cs="宋体"/>
      <w:sz w:val="24"/>
    </w:rPr>
  </w:style>
  <w:style w:type="paragraph" w:styleId="1241" w:customStyle="1">
    <w:name w:val="Char Char Char1 Char7"/>
    <w:basedOn w:val="892"/>
    <w:uiPriority w:val="0"/>
    <w:qFormat/>
    <w:pPr>
      <w:ind w:firstLine="200"/>
      <w:spacing w:line="360" w:lineRule="auto"/>
    </w:pPr>
    <w:rPr>
      <w:rFonts w:ascii="宋体" w:hAnsi="宋体" w:cs="宋体"/>
      <w:sz w:val="24"/>
    </w:rPr>
  </w:style>
  <w:style w:type="paragraph" w:styleId="1242" w:customStyle="1">
    <w:name w:val="Char Char Char1 Char8"/>
    <w:basedOn w:val="892"/>
    <w:uiPriority w:val="0"/>
    <w:qFormat/>
    <w:pPr>
      <w:ind w:firstLine="200"/>
      <w:spacing w:line="360" w:lineRule="auto"/>
    </w:pPr>
    <w:rPr>
      <w:rFonts w:ascii="宋体" w:hAnsi="宋体" w:cs="宋体"/>
      <w:sz w:val="24"/>
    </w:rPr>
  </w:style>
  <w:style w:type="paragraph" w:styleId="1243" w:customStyle="1">
    <w:name w:val="Char Char Char1 Char9"/>
    <w:basedOn w:val="892"/>
    <w:uiPriority w:val="0"/>
    <w:qFormat/>
    <w:pPr>
      <w:ind w:firstLine="200"/>
      <w:spacing w:line="360" w:lineRule="auto"/>
    </w:pPr>
    <w:rPr>
      <w:rFonts w:ascii="宋体" w:hAnsi="宋体" w:cs="宋体"/>
      <w:sz w:val="24"/>
    </w:rPr>
  </w:style>
  <w:style w:type="paragraph" w:styleId="1244" w:customStyle="1">
    <w:name w:val="TOC 标题11"/>
    <w:basedOn w:val="1104"/>
    <w:next w:val="892"/>
    <w:uiPriority w:val="39"/>
    <w:qFormat/>
    <w:pPr>
      <w:jc w:val="left"/>
      <w:spacing w:before="480" w:after="0" w:line="276" w:lineRule="auto"/>
      <w:widowControl/>
      <w:outlineLvl w:val="9"/>
    </w:pPr>
    <w:rPr>
      <w:rFonts w:ascii="Cambria" w:hAnsi="Cambria"/>
      <w:bCs/>
      <w:color w:val="365f91"/>
      <w:sz w:val="28"/>
      <w:szCs w:val="28"/>
    </w:rPr>
  </w:style>
  <w:style w:type="paragraph" w:styleId="1245" w:customStyle="1">
    <w:name w:val="小标题一"/>
    <w:basedOn w:val="892"/>
    <w:next w:val="892"/>
    <w:uiPriority w:val="0"/>
    <w:qFormat/>
    <w:pPr>
      <w:spacing w:line="500" w:lineRule="exact"/>
      <w:tabs>
        <w:tab w:val="left" w:pos="2247" w:leader="none"/>
      </w:tabs>
    </w:pPr>
    <w:rPr>
      <w:sz w:val="28"/>
      <w:szCs w:val="20"/>
    </w:rPr>
  </w:style>
  <w:style w:type="paragraph" w:styleId="1246" w:customStyle="1">
    <w:name w:val="xl25"/>
    <w:basedOn w:val="89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47" w:customStyle="1">
    <w:name w:val="列出段落2"/>
    <w:basedOn w:val="1108"/>
    <w:link w:val="1252"/>
    <w:uiPriority w:val="0"/>
    <w:qFormat/>
    <w:pPr>
      <w:ind w:firstLine="420"/>
    </w:pPr>
    <w:rPr>
      <w:sz w:val="20"/>
      <w:szCs w:val="20"/>
    </w:rPr>
  </w:style>
  <w:style w:type="character" w:styleId="1248" w:customStyle="1">
    <w:name w:val="页码1"/>
    <w:link w:val="1108"/>
    <w:uiPriority w:val="0"/>
    <w:qFormat/>
    <w:rPr>
      <w:sz w:val="21"/>
      <w:szCs w:val="22"/>
      <w:lang w:val="en-US" w:eastAsia="zh-CN" w:bidi="ar-SA"/>
    </w:rPr>
  </w:style>
  <w:style w:type="paragraph" w:styleId="1249" w:customStyle="1">
    <w:name w:val="正文首行缩进 21"/>
    <w:basedOn w:val="1149"/>
    <w:uiPriority w:val="0"/>
    <w:qFormat/>
    <w:pPr>
      <w:ind w:left="420" w:firstLine="420"/>
    </w:pPr>
    <w:rPr>
      <w:szCs w:val="24"/>
    </w:rPr>
  </w:style>
  <w:style w:type="paragraph" w:styleId="1250" w:customStyle="1">
    <w:name w:val="正文文本缩进1"/>
    <w:basedOn w:val="892"/>
    <w:next w:val="1251"/>
    <w:uiPriority w:val="0"/>
    <w:qFormat/>
    <w:pPr>
      <w:ind w:firstLine="630"/>
    </w:pPr>
    <w:rPr>
      <w:szCs w:val="20"/>
    </w:rPr>
  </w:style>
  <w:style w:type="paragraph" w:styleId="1251" w:customStyle="1">
    <w:name w:val="寄信人地址1"/>
    <w:basedOn w:val="892"/>
    <w:uiPriority w:val="0"/>
    <w:qFormat/>
    <w:rPr>
      <w:rFonts w:ascii="Arial" w:hAnsi="Arial"/>
    </w:rPr>
  </w:style>
  <w:style w:type="character" w:styleId="1252" w:customStyle="1">
    <w:name w:val="列出段落 Char"/>
    <w:link w:val="1247"/>
    <w:uiPriority w:val="0"/>
    <w:qFormat/>
    <w:rPr>
      <w:rFonts w:ascii="Times New Roman" w:hAnsi="Times New Roman" w:eastAsia="宋体" w:cs="Times New Roman"/>
      <w:szCs w:val="20"/>
    </w:rPr>
  </w:style>
  <w:style w:type="paragraph" w:styleId="1253" w:customStyle="1">
    <w:name w:val="无间隔1"/>
    <w:basedOn w:val="892"/>
    <w:uiPriority w:val="0"/>
    <w:qFormat/>
    <w:pPr>
      <w:jc w:val="left"/>
      <w:widowControl/>
    </w:pPr>
    <w:rPr>
      <w:sz w:val="24"/>
      <w:szCs w:val="32"/>
      <w:lang w:eastAsia="en-US"/>
    </w:rPr>
  </w:style>
  <w:style w:type="paragraph" w:styleId="1254" w:customStyle="1">
    <w:name w:val="纯文本1"/>
    <w:basedOn w:val="892"/>
    <w:uiPriority w:val="0"/>
    <w:qFormat/>
    <w:rPr>
      <w:rFonts w:hint="eastAsia" w:ascii="宋体" w:hAnsi="Courier New"/>
    </w:rPr>
  </w:style>
  <w:style w:type="paragraph" w:styleId="1255" w:customStyle="1">
    <w:name w:val="paragraphindent"/>
    <w:basedOn w:val="892"/>
    <w:uiPriority w:val="0"/>
    <w:qFormat/>
    <w:pPr>
      <w:jc w:val="left"/>
      <w:spacing w:before="100" w:beforeAutospacing="1" w:after="100" w:afterAutospacing="1"/>
      <w:widowControl/>
    </w:pPr>
    <w:rPr>
      <w:rFonts w:ascii="宋体" w:hAnsi="宋体" w:cs="宋体"/>
      <w:sz w:val="24"/>
    </w:rPr>
  </w:style>
  <w:style w:type="paragraph" w:styleId="1256" w:customStyle="1">
    <w:name w:val="一级目录"/>
    <w:next w:val="892"/>
    <w:uiPriority w:val="0"/>
    <w:qFormat/>
    <w:pPr>
      <w:jc w:val="center"/>
      <w:outlineLvl w:val="0"/>
    </w:pPr>
    <w:rPr>
      <w:rFonts w:ascii="黑体" w:hAnsi="Times New Roman" w:eastAsia="黑体" w:cs="Times New Roman"/>
      <w:b/>
      <w:sz w:val="44"/>
      <w:szCs w:val="44"/>
      <w:lang w:val="en-US" w:eastAsia="zh-CN" w:bidi="ar-SA"/>
    </w:rPr>
  </w:style>
  <w:style w:type="paragraph" w:styleId="1257"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58" w:customStyle="1">
    <w:name w:val="正文2"/>
    <w:basedOn w:val="892"/>
    <w:link w:val="1259"/>
    <w:uiPriority w:val="0"/>
    <w:qFormat/>
    <w:pPr>
      <w:ind w:firstLine="420"/>
      <w:spacing w:line="360" w:lineRule="auto"/>
    </w:pPr>
    <w:rPr>
      <w:sz w:val="28"/>
    </w:rPr>
  </w:style>
  <w:style w:type="character" w:styleId="1259" w:customStyle="1">
    <w:name w:val="正文2 Char"/>
    <w:link w:val="1258"/>
    <w:uiPriority w:val="0"/>
    <w:qFormat/>
    <w:rPr>
      <w:rFonts w:ascii="Times New Roman" w:hAnsi="Times New Roman" w:eastAsia="宋体" w:cs="Times New Roman"/>
      <w:sz w:val="28"/>
      <w:szCs w:val="24"/>
    </w:rPr>
  </w:style>
  <w:style w:type="character" w:styleId="1260" w:customStyle="1">
    <w:name w:val="apple-style-span"/>
    <w:uiPriority w:val="0"/>
    <w:qFormat/>
  </w:style>
  <w:style w:type="paragraph" w:styleId="1261" w:customStyle="1">
    <w:name w:val="Heading 21"/>
    <w:basedOn w:val="892"/>
    <w:next w:val="892"/>
    <w:uiPriority w:val="99"/>
    <w:qFormat/>
    <w:pPr>
      <w:spacing w:before="240" w:after="60" w:line="360" w:lineRule="atLeast"/>
    </w:pPr>
    <w:rPr>
      <w:rFonts w:ascii="Arial" w:hAnsi="Arial"/>
      <w:sz w:val="24"/>
      <w:szCs w:val="20"/>
    </w:rPr>
  </w:style>
  <w:style w:type="character" w:styleId="1262" w:customStyle="1">
    <w:name w:val="纯文本 Char1"/>
    <w:uiPriority w:val="0"/>
    <w:qFormat/>
    <w:rPr>
      <w:rFonts w:ascii="宋体" w:hAnsi="Courier New" w:eastAsia="宋体"/>
      <w:sz w:val="24"/>
      <w:lang w:val="en-US" w:eastAsia="zh-CN" w:bidi="ar-SA"/>
    </w:rPr>
  </w:style>
  <w:style w:type="paragraph" w:styleId="1263" w:customStyle="1">
    <w:name w:val="p0"/>
    <w:basedOn w:val="892"/>
    <w:uiPriority w:val="0"/>
    <w:qFormat/>
    <w:pPr>
      <w:widowControl/>
    </w:pPr>
    <w:rPr>
      <w:szCs w:val="21"/>
    </w:rPr>
  </w:style>
  <w:style w:type="paragraph" w:styleId="1264" w:customStyle="1">
    <w:name w:val="正文Land"/>
    <w:basedOn w:val="892"/>
    <w:uiPriority w:val="0"/>
    <w:qFormat/>
    <w:pPr>
      <w:ind w:firstLine="200"/>
      <w:spacing w:line="360" w:lineRule="auto"/>
    </w:pPr>
    <w:rPr>
      <w:rFonts w:ascii="宋体"/>
      <w:sz w:val="24"/>
    </w:rPr>
  </w:style>
  <w:style w:type="paragraph" w:styleId="1265" w:customStyle="1">
    <w:name w:val="正文首行缩进2字符"/>
    <w:basedOn w:val="892"/>
    <w:uiPriority w:val="0"/>
    <w:qFormat/>
    <w:pPr>
      <w:ind w:firstLine="200"/>
      <w:spacing w:line="360" w:lineRule="auto"/>
    </w:pPr>
    <w:rPr>
      <w:rFonts w:eastAsia="仿宋"/>
      <w:sz w:val="28"/>
      <w:szCs w:val="20"/>
    </w:rPr>
  </w:style>
  <w:style w:type="paragraph" w:styleId="1266" w:customStyle="1">
    <w:name w:val="正文首行缩进4字符"/>
    <w:basedOn w:val="892"/>
    <w:uiPriority w:val="0"/>
    <w:qFormat/>
    <w:pPr>
      <w:ind w:left="482" w:firstLine="482"/>
      <w:spacing w:line="360" w:lineRule="auto"/>
    </w:pPr>
    <w:rPr>
      <w:rFonts w:eastAsia="仿宋"/>
      <w:sz w:val="28"/>
      <w:szCs w:val="20"/>
    </w:rPr>
  </w:style>
  <w:style w:type="paragraph" w:styleId="1267" w:customStyle="1">
    <w:name w:val="标题2"/>
    <w:basedOn w:val="1105"/>
    <w:uiPriority w:val="0"/>
    <w:qFormat/>
    <w:pPr>
      <w:spacing w:before="0" w:after="0"/>
    </w:pPr>
    <w:rPr>
      <w:rFonts w:ascii="Cambria" w:hAnsi="Cambria" w:eastAsia="宋体"/>
      <w:b w:val="0"/>
      <w:sz w:val="28"/>
    </w:rPr>
  </w:style>
  <w:style w:type="paragraph" w:styleId="1268" w:customStyle="1">
    <w:name w:val="black1"/>
    <w:basedOn w:val="892"/>
    <w:uiPriority w:val="0"/>
    <w:qFormat/>
    <w:pPr>
      <w:jc w:val="left"/>
      <w:spacing w:before="100" w:beforeAutospacing="1" w:after="100" w:afterAutospacing="1"/>
      <w:widowControl/>
    </w:pPr>
    <w:rPr>
      <w:rFonts w:ascii="宋体" w:hAnsi="宋体"/>
      <w:sz w:val="24"/>
    </w:rPr>
  </w:style>
  <w:style w:type="paragraph" w:styleId="1269" w:customStyle="1">
    <w:name w:val="QB正文"/>
    <w:basedOn w:val="892"/>
    <w:link w:val="1270"/>
    <w:uiPriority w:val="0"/>
    <w:qFormat/>
    <w:pPr>
      <w:ind w:firstLine="200"/>
      <w:widowControl/>
    </w:pPr>
    <w:rPr>
      <w:rFonts w:ascii="宋体"/>
      <w:sz w:val="20"/>
      <w:szCs w:val="20"/>
    </w:rPr>
  </w:style>
  <w:style w:type="character" w:styleId="1270" w:customStyle="1">
    <w:name w:val="QB正文 Char"/>
    <w:link w:val="1269"/>
    <w:uiPriority w:val="0"/>
    <w:qFormat/>
    <w:rPr>
      <w:rFonts w:ascii="宋体" w:hAnsi="Times New Roman" w:eastAsia="宋体" w:cs="Times New Roman"/>
      <w:szCs w:val="20"/>
    </w:rPr>
  </w:style>
  <w:style w:type="paragraph" w:styleId="1271" w:customStyle="1">
    <w:name w:val="Table"/>
    <w:next w:val="892"/>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72" w:customStyle="1">
    <w:name w:val="参考资料清单+倾斜+蓝色"/>
    <w:basedOn w:val="892"/>
    <w:uiPriority w:val="0"/>
    <w:qFormat/>
    <w:pPr>
      <w:spacing w:line="360" w:lineRule="auto"/>
    </w:pPr>
    <w:rPr>
      <w:rFonts w:ascii="Arial" w:hAnsi="Arial"/>
      <w:i/>
      <w:iCs/>
      <w:color w:val="0000ff"/>
      <w:szCs w:val="21"/>
    </w:rPr>
  </w:style>
  <w:style w:type="character" w:styleId="1273" w:customStyle="1">
    <w:name w:val="Figure Char"/>
    <w:uiPriority w:val="0"/>
    <w:qFormat/>
    <w:rPr>
      <w:sz w:val="21"/>
      <w:szCs w:val="21"/>
    </w:rPr>
  </w:style>
  <w:style w:type="character" w:styleId="1274" w:customStyle="1">
    <w:name w:val="正文2 Char Char"/>
    <w:uiPriority w:val="0"/>
    <w:qFormat/>
    <w:rPr>
      <w:sz w:val="24"/>
    </w:rPr>
  </w:style>
  <w:style w:type="paragraph" w:styleId="1275" w:customStyle="1">
    <w:name w:val="纯文本11"/>
    <w:basedOn w:val="892"/>
    <w:link w:val="1276"/>
    <w:uiPriority w:val="0"/>
    <w:qFormat/>
    <w:rPr>
      <w:rFonts w:ascii="宋体" w:hAnsi="Courier New" w:eastAsia="楷体_GB2312"/>
      <w:sz w:val="28"/>
      <w:szCs w:val="20"/>
    </w:rPr>
  </w:style>
  <w:style w:type="character" w:styleId="1276" w:customStyle="1">
    <w:name w:val="Plain Text Char Char"/>
    <w:link w:val="1275"/>
    <w:uiPriority w:val="0"/>
    <w:qFormat/>
    <w:rPr>
      <w:rFonts w:ascii="宋体" w:hAnsi="Courier New" w:eastAsia="楷体_GB2312" w:cs="Times New Roman"/>
      <w:sz w:val="28"/>
      <w:szCs w:val="20"/>
    </w:rPr>
  </w:style>
  <w:style w:type="paragraph" w:styleId="1277" w:customStyle="1">
    <w:name w:val="Char Char Char Char Char Char Char1"/>
    <w:basedOn w:val="892"/>
    <w:uiPriority w:val="0"/>
    <w:qFormat/>
    <w:pPr>
      <w:ind w:firstLine="480"/>
      <w:spacing w:line="360" w:lineRule="auto"/>
    </w:pPr>
    <w:rPr>
      <w:rFonts w:ascii="Tahoma" w:hAnsi="Tahoma"/>
      <w:sz w:val="24"/>
      <w:szCs w:val="20"/>
    </w:rPr>
  </w:style>
  <w:style w:type="character" w:styleId="1278" w:customStyle="1">
    <w:name w:val="apple-converted-space"/>
    <w:uiPriority w:val="0"/>
    <w:qFormat/>
  </w:style>
  <w:style w:type="character" w:styleId="1279" w:customStyle="1">
    <w:name w:val="font131"/>
    <w:uiPriority w:val="0"/>
    <w:qFormat/>
    <w:rPr>
      <w:sz w:val="20"/>
      <w:szCs w:val="20"/>
    </w:rPr>
  </w:style>
  <w:style w:type="paragraph" w:styleId="1280" w:customStyle="1">
    <w:name w:val="标题 1（绿盟科技）"/>
    <w:basedOn w:val="1104"/>
    <w:next w:val="892"/>
    <w:uiPriority w:val="0"/>
    <w:qFormat/>
    <w:pPr>
      <w:numPr>
        <w:ilvl w:val="0"/>
        <w:numId w:val="3"/>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81" w:customStyle="1">
    <w:name w:val="标题 2（绿盟科技）"/>
    <w:basedOn w:val="1105"/>
    <w:next w:val="892"/>
    <w:uiPriority w:val="0"/>
    <w:qFormat/>
    <w:pPr>
      <w:numPr>
        <w:ilvl w:val="1"/>
        <w:numId w:val="3"/>
      </w:numPr>
      <w:ind w:left="0" w:firstLine="0"/>
      <w:jc w:val="left"/>
      <w:spacing w:line="415" w:lineRule="auto"/>
      <w:tabs>
        <w:tab w:val="left" w:pos="360" w:leader="none"/>
      </w:tabs>
    </w:pPr>
    <w:rPr>
      <w:bCs w:val="0"/>
    </w:rPr>
  </w:style>
  <w:style w:type="paragraph" w:styleId="1282" w:customStyle="1">
    <w:name w:val="标题 3（绿盟科技）"/>
    <w:basedOn w:val="1106"/>
    <w:next w:val="892"/>
    <w:uiPriority w:val="0"/>
    <w:qFormat/>
    <w:pPr>
      <w:numPr>
        <w:numId w:val="3"/>
      </w:numPr>
      <w:jc w:val="left"/>
      <w:spacing w:before="260" w:after="260" w:line="415" w:lineRule="auto"/>
      <w:tabs>
        <w:tab w:val="left" w:pos="960" w:leader="none"/>
      </w:tabs>
    </w:pPr>
    <w:rPr>
      <w:rFonts w:ascii="Arial" w:hAnsi="Arial" w:eastAsia="黑体"/>
      <w:bCs w:val="0"/>
      <w:szCs w:val="30"/>
    </w:rPr>
  </w:style>
  <w:style w:type="paragraph" w:styleId="1283" w:customStyle="1">
    <w:name w:val="标题 4（绿盟科技）"/>
    <w:basedOn w:val="1107"/>
    <w:next w:val="892"/>
    <w:uiPriority w:val="0"/>
    <w:qFormat/>
    <w:pPr>
      <w:numPr>
        <w:numId w:val="3"/>
      </w:numPr>
      <w:ind w:left="0" w:firstLine="0"/>
      <w:jc w:val="left"/>
      <w:spacing w:before="280" w:after="156" w:line="376" w:lineRule="auto"/>
      <w:widowControl/>
      <w:tabs>
        <w:tab w:val="left" w:pos="360" w:leader="none"/>
      </w:tabs>
    </w:pPr>
    <w:rPr>
      <w:bCs w:val="0"/>
    </w:rPr>
  </w:style>
  <w:style w:type="paragraph" w:styleId="1284" w:customStyle="1">
    <w:name w:val="标题 5（有编号）（绿盟科技）"/>
    <w:basedOn w:val="892"/>
    <w:next w:val="892"/>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85" w:customStyle="1">
    <w:name w:val="标题 6（有编号）（绿盟科技）"/>
    <w:basedOn w:val="892"/>
    <w:next w:val="892"/>
    <w:uiPriority w:val="0"/>
    <w:qFormat/>
    <w:pPr>
      <w:ind w:left="1247" w:hanging="1247"/>
      <w:jc w:val="left"/>
      <w:keepLines/>
      <w:keepNext/>
      <w:spacing w:before="240" w:after="64" w:line="319" w:lineRule="auto"/>
      <w:outlineLvl w:val="5"/>
    </w:pPr>
    <w:rPr>
      <w:rFonts w:ascii="Arial" w:hAnsi="Arial" w:eastAsia="黑体"/>
      <w:b/>
    </w:rPr>
  </w:style>
  <w:style w:type="paragraph" w:styleId="1286" w:customStyle="1">
    <w:name w:val="插图标注（绿盟科技）"/>
    <w:next w:val="892"/>
    <w:uiPriority w:val="0"/>
    <w:qFormat/>
    <w:pPr>
      <w:jc w:val="center"/>
      <w:spacing w:after="156"/>
    </w:pPr>
    <w:rPr>
      <w:rFonts w:ascii="Arial" w:hAnsi="Arial" w:eastAsia="宋体" w:cs="Arial"/>
      <w:sz w:val="21"/>
      <w:szCs w:val="21"/>
      <w:lang w:val="en-US" w:eastAsia="zh-CN" w:bidi="ar-SA"/>
    </w:rPr>
  </w:style>
  <w:style w:type="paragraph" w:styleId="1287" w:customStyle="1">
    <w:name w:val="表格标注（绿盟科技）"/>
    <w:basedOn w:val="1286"/>
    <w:next w:val="892"/>
    <w:uiPriority w:val="0"/>
    <w:qFormat/>
  </w:style>
  <w:style w:type="character" w:styleId="1288"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paragraph" w:styleId="1289" w:customStyle="1">
    <w:name w:val="默认段落字体 Para Char Char Char Char"/>
    <w:basedOn w:val="892"/>
    <w:uiPriority w:val="0"/>
    <w:qFormat/>
    <w:rPr>
      <w:szCs w:val="20"/>
    </w:rPr>
  </w:style>
  <w:style w:type="paragraph" w:styleId="1290" w:customStyle="1">
    <w:name w:val="正文文本3"/>
    <w:basedOn w:val="892"/>
    <w:uiPriority w:val="0"/>
    <w:qFormat/>
    <w:pPr>
      <w:spacing w:before="180" w:line="425" w:lineRule="exact"/>
      <w:shd w:val="clear" w:color="auto" w:fill="ffffff"/>
    </w:pPr>
    <w:rPr>
      <w:rFonts w:ascii="宋体" w:hAnsi="宋体"/>
      <w:sz w:val="23"/>
      <w:szCs w:val="23"/>
    </w:rPr>
  </w:style>
  <w:style w:type="character" w:styleId="1291" w:customStyle="1">
    <w:name w:val="标题 #2_"/>
    <w:link w:val="1292"/>
    <w:uiPriority w:val="0"/>
    <w:qFormat/>
    <w:rPr>
      <w:rFonts w:ascii="MingLiU" w:hAnsi="MingLiU" w:eastAsia="MingLiU" w:cs="MingLiU"/>
      <w:spacing w:val="20"/>
      <w:sz w:val="46"/>
      <w:szCs w:val="46"/>
      <w:shd w:val="clear" w:color="auto" w:fill="ffffff"/>
    </w:rPr>
  </w:style>
  <w:style w:type="paragraph" w:styleId="1292" w:customStyle="1">
    <w:name w:val="标题 #2"/>
    <w:basedOn w:val="892"/>
    <w:link w:val="1291"/>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93" w:customStyle="1">
    <w:name w:val="正文4"/>
    <w:basedOn w:val="892"/>
    <w:uiPriority w:val="0"/>
    <w:qFormat/>
    <w:pPr>
      <w:ind w:firstLine="420"/>
      <w:jc w:val="left"/>
    </w:pPr>
    <w:rPr>
      <w:rFonts w:ascii="宋体" w:hAnsi="宋体" w:cs="宋体"/>
    </w:rPr>
  </w:style>
  <w:style w:type="paragraph" w:styleId="1294" w:customStyle="1">
    <w:name w:val="编号，小四"/>
    <w:basedOn w:val="892"/>
    <w:uiPriority w:val="0"/>
    <w:qFormat/>
    <w:pPr>
      <w:numPr>
        <w:ilvl w:val="0"/>
        <w:numId w:val="4"/>
      </w:numPr>
      <w:spacing w:line="360" w:lineRule="auto"/>
    </w:pPr>
    <w:rPr>
      <w:rFonts w:ascii="Arial" w:hAnsi="Arial" w:cs="宋体"/>
      <w:sz w:val="24"/>
      <w:szCs w:val="20"/>
    </w:rPr>
  </w:style>
  <w:style w:type="paragraph" w:styleId="1295" w:customStyle="1">
    <w:name w:val="样式 首行缩进:  0 字符"/>
    <w:basedOn w:val="892"/>
    <w:uiPriority w:val="0"/>
    <w:qFormat/>
    <w:pPr>
      <w:ind w:firstLine="200"/>
      <w:spacing w:line="360" w:lineRule="auto"/>
    </w:pPr>
    <w:rPr>
      <w:rFonts w:ascii="Arial" w:hAnsi="Arial" w:cs="宋体"/>
      <w:sz w:val="24"/>
      <w:szCs w:val="20"/>
    </w:rPr>
  </w:style>
  <w:style w:type="paragraph" w:styleId="1296" w:customStyle="1">
    <w:name w:val="正文四号"/>
    <w:basedOn w:val="892"/>
    <w:uiPriority w:val="0"/>
    <w:qFormat/>
    <w:pPr>
      <w:ind w:firstLine="200"/>
      <w:spacing w:line="360" w:lineRule="auto"/>
    </w:pPr>
    <w:rPr>
      <w:rFonts w:eastAsia="仿宋_GB2312" w:cs="宋体"/>
      <w:sz w:val="28"/>
      <w:szCs w:val="20"/>
    </w:rPr>
  </w:style>
  <w:style w:type="paragraph" w:styleId="1297" w:customStyle="1">
    <w:name w:val="标题 3.1"/>
    <w:basedOn w:val="1106"/>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298" w:customStyle="1">
    <w:name w:val="不明显强调2"/>
    <w:uiPriority w:val="0"/>
    <w:qFormat/>
    <w:rPr>
      <w:i/>
      <w:color w:val="5a5a5a"/>
    </w:rPr>
  </w:style>
  <w:style w:type="character" w:styleId="1299" w:customStyle="1">
    <w:name w:val="明显参考2"/>
    <w:uiPriority w:val="0"/>
    <w:qFormat/>
    <w:rPr>
      <w:rFonts w:cs="Times New Roman"/>
      <w:b/>
      <w:sz w:val="24"/>
      <w:u w:val="single"/>
    </w:rPr>
  </w:style>
  <w:style w:type="character" w:styleId="1300" w:customStyle="1">
    <w:name w:val="明显强调2"/>
    <w:uiPriority w:val="0"/>
    <w:qFormat/>
    <w:rPr>
      <w:rFonts w:cs="Times New Roman"/>
      <w:b/>
      <w:i/>
      <w:sz w:val="24"/>
      <w:szCs w:val="24"/>
      <w:u w:val="single"/>
    </w:rPr>
  </w:style>
  <w:style w:type="character" w:styleId="1301" w:customStyle="1">
    <w:name w:val="书籍标题2"/>
    <w:uiPriority w:val="0"/>
    <w:qFormat/>
    <w:rPr>
      <w:rFonts w:ascii="Arial" w:hAnsi="Arial" w:eastAsia="黑体" w:cs="Times New Roman"/>
      <w:b/>
      <w:i/>
      <w:sz w:val="24"/>
      <w:szCs w:val="24"/>
    </w:rPr>
  </w:style>
  <w:style w:type="character" w:styleId="1302" w:customStyle="1">
    <w:name w:val="不明显参考2"/>
    <w:uiPriority w:val="0"/>
    <w:qFormat/>
    <w:rPr>
      <w:rFonts w:cs="Times New Roman"/>
      <w:sz w:val="24"/>
      <w:szCs w:val="24"/>
      <w:u w:val="single"/>
    </w:rPr>
  </w:style>
  <w:style w:type="paragraph" w:styleId="1303" w:customStyle="1">
    <w:name w:val="Char Char2"/>
    <w:basedOn w:val="892"/>
    <w:uiPriority w:val="0"/>
    <w:qFormat/>
    <w:rPr>
      <w:rFonts w:ascii="Tahoma" w:hAnsi="Tahoma"/>
      <w:sz w:val="24"/>
      <w:szCs w:val="20"/>
    </w:rPr>
  </w:style>
  <w:style w:type="paragraph" w:styleId="1304" w:customStyle="1">
    <w:name w:val="Char Char11"/>
    <w:basedOn w:val="892"/>
    <w:uiPriority w:val="0"/>
    <w:qFormat/>
    <w:pPr>
      <w:jc w:val="left"/>
      <w:spacing w:after="160" w:line="240" w:lineRule="exact"/>
      <w:widowControl/>
    </w:pPr>
    <w:rPr>
      <w:rFonts w:ascii="Verdana" w:hAnsi="Verdana" w:eastAsia="仿宋_GB2312"/>
      <w:sz w:val="24"/>
      <w:szCs w:val="20"/>
      <w:lang w:eastAsia="en-US"/>
    </w:rPr>
  </w:style>
  <w:style w:type="paragraph" w:styleId="1305" w:customStyle="1">
    <w:name w:val="Char2"/>
    <w:basedOn w:val="892"/>
    <w:uiPriority w:val="0"/>
    <w:qFormat/>
  </w:style>
  <w:style w:type="paragraph" w:styleId="1306" w:customStyle="1">
    <w:name w:val="Char Char1 Char Char Char Char Char Char Char Char Char Char1"/>
    <w:basedOn w:val="892"/>
    <w:uiPriority w:val="0"/>
    <w:qFormat/>
    <w:pPr>
      <w:jc w:val="left"/>
      <w:spacing w:after="160" w:line="240" w:lineRule="exact"/>
      <w:widowControl/>
    </w:pPr>
    <w:rPr>
      <w:rFonts w:ascii="Verdana" w:hAnsi="Verdana" w:eastAsia="仿宋_GB2312"/>
      <w:sz w:val="24"/>
      <w:szCs w:val="20"/>
      <w:lang w:eastAsia="en-US"/>
    </w:rPr>
  </w:style>
  <w:style w:type="paragraph" w:styleId="1307" w:customStyle="1">
    <w:name w:val="Char Char Char Char Char Char Char2"/>
    <w:basedOn w:val="892"/>
    <w:uiPriority w:val="0"/>
    <w:qFormat/>
    <w:pPr>
      <w:ind w:left="432" w:hanging="432"/>
      <w:tabs>
        <w:tab w:val="left" w:pos="432" w:leader="none"/>
      </w:tabs>
    </w:pPr>
    <w:rPr>
      <w:rFonts w:ascii="Tahoma" w:hAnsi="Tahoma"/>
      <w:sz w:val="24"/>
      <w:szCs w:val="20"/>
    </w:rPr>
  </w:style>
  <w:style w:type="paragraph" w:styleId="1308" w:customStyle="1">
    <w:name w:val="Char Char Char1 Char10"/>
    <w:basedOn w:val="892"/>
    <w:uiPriority w:val="0"/>
    <w:qFormat/>
    <w:pPr>
      <w:ind w:firstLine="200"/>
      <w:spacing w:line="360" w:lineRule="auto"/>
    </w:pPr>
    <w:rPr>
      <w:rFonts w:ascii="宋体" w:hAnsi="宋体" w:cs="宋体"/>
      <w:sz w:val="24"/>
    </w:rPr>
  </w:style>
  <w:style w:type="paragraph" w:styleId="1309" w:customStyle="1">
    <w:name w:val="引用2"/>
    <w:basedOn w:val="892"/>
    <w:next w:val="892"/>
    <w:uiPriority w:val="0"/>
    <w:qFormat/>
    <w:pPr>
      <w:jc w:val="left"/>
      <w:widowControl/>
    </w:pPr>
    <w:rPr>
      <w:i/>
      <w:sz w:val="24"/>
      <w:lang w:eastAsia="en-US"/>
    </w:rPr>
  </w:style>
  <w:style w:type="paragraph" w:styleId="1310" w:customStyle="1">
    <w:name w:val="明显引用2"/>
    <w:basedOn w:val="892"/>
    <w:next w:val="892"/>
    <w:uiPriority w:val="0"/>
    <w:qFormat/>
    <w:pPr>
      <w:ind w:left="720" w:right="720"/>
      <w:jc w:val="left"/>
      <w:widowControl/>
    </w:pPr>
    <w:rPr>
      <w:b/>
      <w:i/>
      <w:sz w:val="24"/>
      <w:szCs w:val="22"/>
      <w:lang w:eastAsia="en-US"/>
    </w:rPr>
  </w:style>
  <w:style w:type="paragraph" w:styleId="1311" w:customStyle="1">
    <w:name w:val="列出段落21"/>
    <w:basedOn w:val="892"/>
    <w:uiPriority w:val="0"/>
    <w:qFormat/>
    <w:pPr>
      <w:contextualSpacing/>
      <w:ind w:left="720"/>
      <w:jc w:val="left"/>
      <w:widowControl/>
    </w:pPr>
    <w:rPr>
      <w:sz w:val="24"/>
      <w:lang w:eastAsia="en-US"/>
    </w:rPr>
  </w:style>
  <w:style w:type="paragraph" w:styleId="1312" w:customStyle="1">
    <w:name w:val="无间隔2"/>
    <w:basedOn w:val="892"/>
    <w:uiPriority w:val="0"/>
    <w:qFormat/>
    <w:pPr>
      <w:jc w:val="left"/>
      <w:widowControl/>
    </w:pPr>
    <w:rPr>
      <w:sz w:val="24"/>
      <w:szCs w:val="32"/>
      <w:lang w:eastAsia="en-US"/>
    </w:rPr>
  </w:style>
  <w:style w:type="paragraph" w:styleId="1313" w:customStyle="1">
    <w:name w:val="纯文本2"/>
    <w:basedOn w:val="892"/>
    <w:uiPriority w:val="0"/>
    <w:qFormat/>
    <w:rPr>
      <w:rFonts w:hint="eastAsia" w:ascii="宋体" w:hAnsi="Courier New"/>
    </w:rPr>
  </w:style>
  <w:style w:type="character" w:styleId="1314" w:customStyle="1">
    <w:name w:val="页眉或页脚_"/>
    <w:link w:val="1315"/>
    <w:uiPriority w:val="99"/>
    <w:qFormat/>
    <w:rPr>
      <w:rFonts w:ascii="MingLiU" w:hAnsi="MingLiU" w:eastAsia="MingLiU" w:cs="MingLiU"/>
      <w:spacing w:val="-10"/>
      <w:shd w:val="clear" w:color="auto" w:fill="ffffff"/>
    </w:rPr>
  </w:style>
  <w:style w:type="paragraph" w:styleId="1315" w:customStyle="1">
    <w:name w:val="页眉或页脚"/>
    <w:basedOn w:val="892"/>
    <w:link w:val="1314"/>
    <w:uiPriority w:val="99"/>
    <w:qFormat/>
    <w:pPr>
      <w:jc w:val="left"/>
      <w:spacing w:line="240" w:lineRule="atLeast"/>
      <w:shd w:val="clear" w:color="auto" w:fill="ffffff"/>
    </w:pPr>
    <w:rPr>
      <w:rFonts w:ascii="MingLiU" w:hAnsi="MingLiU" w:eastAsia="MingLiU"/>
      <w:spacing w:val="-10"/>
      <w:sz w:val="20"/>
      <w:szCs w:val="20"/>
    </w:rPr>
  </w:style>
  <w:style w:type="character" w:styleId="1316" w:customStyle="1">
    <w:name w:val="font51"/>
    <w:uiPriority w:val="0"/>
    <w:qFormat/>
    <w:rPr>
      <w:rFonts w:hint="eastAsia" w:ascii="宋体" w:hAnsi="宋体" w:eastAsia="宋体" w:cs="宋体"/>
      <w:b/>
      <w:color w:val="000000"/>
      <w:sz w:val="24"/>
      <w:szCs w:val="24"/>
      <w:u w:val="none"/>
    </w:rPr>
  </w:style>
  <w:style w:type="character" w:styleId="1317" w:customStyle="1">
    <w:name w:val="p12"/>
    <w:uiPriority w:val="0"/>
    <w:qFormat/>
  </w:style>
  <w:style w:type="character" w:styleId="1318" w:customStyle="1">
    <w:name w:val="无间隔 Char"/>
    <w:link w:val="1319"/>
    <w:uiPriority w:val="99"/>
    <w:qFormat/>
    <w:rPr>
      <w:rFonts w:ascii="Times New Roman" w:hAnsi="Times New Roman" w:eastAsia="宋体" w:cs="Times New Roman"/>
      <w:sz w:val="20"/>
      <w:szCs w:val="20"/>
    </w:rPr>
  </w:style>
  <w:style w:type="paragraph" w:styleId="1319" w:customStyle="1">
    <w:name w:val="无间隔3"/>
    <w:basedOn w:val="892"/>
    <w:link w:val="1318"/>
    <w:uiPriority w:val="99"/>
    <w:qFormat/>
    <w:pPr>
      <w:jc w:val="left"/>
      <w:widowControl/>
    </w:pPr>
    <w:rPr>
      <w:sz w:val="20"/>
      <w:szCs w:val="20"/>
    </w:rPr>
  </w:style>
  <w:style w:type="paragraph" w:styleId="1320" w:customStyle="1">
    <w:name w:val="Char Char Char1 Char Char Char Char"/>
    <w:basedOn w:val="892"/>
    <w:uiPriority w:val="0"/>
    <w:qFormat/>
    <w:pPr>
      <w:jc w:val="left"/>
      <w:spacing w:after="160" w:line="240" w:lineRule="exact"/>
      <w:widowControl/>
    </w:pPr>
    <w:rPr>
      <w:sz w:val="24"/>
      <w:szCs w:val="20"/>
    </w:rPr>
  </w:style>
  <w:style w:type="paragraph" w:styleId="1321" w:customStyle="1">
    <w:name w:val="纯文本21"/>
    <w:basedOn w:val="892"/>
    <w:uiPriority w:val="0"/>
    <w:qFormat/>
    <w:pPr>
      <w:jc w:val="left"/>
      <w:widowControl/>
    </w:pPr>
    <w:rPr>
      <w:rFonts w:ascii="宋体" w:hAnsi="Courier New" w:eastAsia="楷体_GB2312"/>
      <w:sz w:val="26"/>
      <w:szCs w:val="20"/>
    </w:rPr>
  </w:style>
  <w:style w:type="paragraph" w:styleId="1322" w:customStyle="1">
    <w:name w:val="图"/>
    <w:basedOn w:val="892"/>
    <w:uiPriority w:val="0"/>
    <w:qFormat/>
    <w:pPr>
      <w:jc w:val="center"/>
      <w:keepNext/>
      <w:spacing w:before="60" w:after="60" w:line="300" w:lineRule="auto"/>
    </w:pPr>
    <w:rPr>
      <w:spacing w:val="20"/>
      <w:sz w:val="24"/>
      <w:szCs w:val="20"/>
    </w:rPr>
  </w:style>
  <w:style w:type="paragraph" w:styleId="1323" w:customStyle="1">
    <w:name w:val="_Style 25"/>
    <w:basedOn w:val="892"/>
    <w:uiPriority w:val="0"/>
    <w:qFormat/>
    <w:pPr>
      <w:jc w:val="left"/>
      <w:spacing w:after="160" w:line="240" w:lineRule="exact"/>
      <w:widowControl/>
    </w:pPr>
    <w:rPr>
      <w:sz w:val="24"/>
      <w:szCs w:val="20"/>
    </w:rPr>
  </w:style>
  <w:style w:type="paragraph" w:styleId="1324" w:customStyle="1">
    <w:name w:val="xl31"/>
    <w:basedOn w:val="89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25" w:customStyle="1">
    <w:name w:val="xl35"/>
    <w:basedOn w:val="892"/>
    <w:uiPriority w:val="0"/>
    <w:qFormat/>
    <w:pPr>
      <w:jc w:val="right"/>
      <w:spacing w:before="100" w:beforeAutospacing="1" w:after="100" w:afterAutospacing="1"/>
      <w:widowControl/>
    </w:pPr>
    <w:rPr>
      <w:rFonts w:ascii="宋体" w:hAnsi="宋体"/>
      <w:sz w:val="18"/>
      <w:szCs w:val="20"/>
    </w:rPr>
  </w:style>
  <w:style w:type="paragraph" w:styleId="1326" w:customStyle="1">
    <w:name w:val="Char Char Char Char Char Char"/>
    <w:basedOn w:val="1139"/>
    <w:uiPriority w:val="0"/>
    <w:qFormat/>
    <w:pPr>
      <w:spacing w:line="360" w:lineRule="auto"/>
    </w:pPr>
    <w:rPr>
      <w:rFonts w:ascii="Tahoma" w:hAnsi="Tahoma"/>
      <w:sz w:val="24"/>
      <w:szCs w:val="20"/>
    </w:rPr>
  </w:style>
  <w:style w:type="paragraph" w:styleId="1327" w:customStyle="1">
    <w:name w:val="Char1"/>
    <w:basedOn w:val="892"/>
    <w:uiPriority w:val="0"/>
    <w:qFormat/>
    <w:pPr>
      <w:numPr>
        <w:ilvl w:val="0"/>
        <w:numId w:val="1"/>
      </w:numPr>
      <w:tabs>
        <w:tab w:val="left" w:pos="360" w:leader="none"/>
      </w:tabs>
    </w:pPr>
    <w:rPr>
      <w:sz w:val="24"/>
      <w:szCs w:val="20"/>
    </w:rPr>
  </w:style>
  <w:style w:type="paragraph" w:styleId="1328" w:customStyle="1">
    <w:name w:val="font5"/>
    <w:basedOn w:val="892"/>
    <w:uiPriority w:val="0"/>
    <w:qFormat/>
    <w:pPr>
      <w:jc w:val="left"/>
      <w:spacing w:before="100" w:beforeAutospacing="1" w:after="100" w:afterAutospacing="1"/>
      <w:widowControl/>
    </w:pPr>
    <w:rPr>
      <w:rFonts w:hint="eastAsia" w:ascii="宋体" w:hAnsi="宋体"/>
      <w:sz w:val="18"/>
      <w:szCs w:val="20"/>
    </w:rPr>
  </w:style>
  <w:style w:type="paragraph" w:styleId="1329" w:customStyle="1">
    <w:name w:val="Char Char Char Char Char Char Char Char Char Char"/>
    <w:basedOn w:val="892"/>
    <w:uiPriority w:val="0"/>
    <w:qFormat/>
    <w:pPr>
      <w:tabs>
        <w:tab w:val="left" w:pos="360" w:leader="none"/>
      </w:tabs>
    </w:pPr>
    <w:rPr>
      <w:sz w:val="24"/>
    </w:rPr>
  </w:style>
  <w:style w:type="paragraph" w:styleId="1330" w:customStyle="1">
    <w:name w:val="1"/>
    <w:basedOn w:val="892"/>
    <w:uiPriority w:val="0"/>
    <w:qFormat/>
    <w:pPr>
      <w:ind w:left="420" w:firstLine="270"/>
      <w:tabs>
        <w:tab w:val="left" w:pos="425" w:leader="none"/>
      </w:tabs>
    </w:pPr>
    <w:rPr>
      <w:szCs w:val="20"/>
    </w:rPr>
  </w:style>
  <w:style w:type="paragraph" w:styleId="1331" w:customStyle="1">
    <w:name w:val="my正文"/>
    <w:basedOn w:val="892"/>
    <w:uiPriority w:val="0"/>
    <w:qFormat/>
    <w:pPr>
      <w:ind w:firstLine="480"/>
      <w:spacing w:line="360" w:lineRule="auto"/>
    </w:pPr>
    <w:rPr>
      <w:sz w:val="24"/>
    </w:rPr>
  </w:style>
  <w:style w:type="paragraph" w:styleId="1332" w:customStyle="1">
    <w:name w:val="H-TextFormat"/>
    <w:uiPriority w:val="0"/>
    <w:qFormat/>
    <w:rPr>
      <w:rFonts w:ascii="Arial" w:hAnsi="Arial" w:eastAsia="宋体" w:cs="Times New Roman"/>
      <w:sz w:val="22"/>
      <w:lang w:val="en-GB" w:eastAsia="en-US" w:bidi="ar-SA"/>
    </w:rPr>
  </w:style>
  <w:style w:type="paragraph" w:styleId="1333" w:customStyle="1">
    <w:name w:val="_Style 12"/>
    <w:basedOn w:val="1139"/>
    <w:uiPriority w:val="0"/>
    <w:qFormat/>
    <w:pPr>
      <w:spacing w:line="360" w:lineRule="auto"/>
    </w:pPr>
    <w:rPr>
      <w:szCs w:val="20"/>
      <w:shd w:val="clear" w:color="auto" w:fill="000080"/>
    </w:rPr>
  </w:style>
  <w:style w:type="paragraph" w:styleId="1334" w:customStyle="1">
    <w:name w:val="NRSection"/>
    <w:basedOn w:val="892"/>
    <w:uiPriority w:val="0"/>
    <w:qFormat/>
    <w:pPr>
      <w:jc w:val="left"/>
      <w:widowControl/>
      <w:outlineLvl w:val="4"/>
    </w:pPr>
    <w:rPr>
      <w:b/>
      <w:sz w:val="24"/>
      <w:szCs w:val="20"/>
    </w:rPr>
  </w:style>
  <w:style w:type="paragraph" w:styleId="1335" w:customStyle="1">
    <w:name w:val="Style5"/>
    <w:basedOn w:val="892"/>
    <w:uiPriority w:val="99"/>
    <w:qFormat/>
    <w:pPr>
      <w:jc w:val="left"/>
    </w:pPr>
    <w:rPr>
      <w:rFonts w:ascii="宋体" w:hAnsi="Calibri"/>
      <w:sz w:val="24"/>
    </w:rPr>
  </w:style>
  <w:style w:type="character" w:styleId="1336" w:customStyle="1">
    <w:name w:val="不明显强调3"/>
    <w:uiPriority w:val="0"/>
    <w:qFormat/>
    <w:rPr>
      <w:i/>
      <w:color w:val="5a5a5a"/>
    </w:rPr>
  </w:style>
  <w:style w:type="character" w:styleId="1337" w:customStyle="1">
    <w:name w:val="明显参考3"/>
    <w:uiPriority w:val="0"/>
    <w:qFormat/>
    <w:rPr>
      <w:rFonts w:cs="Times New Roman"/>
      <w:b/>
      <w:sz w:val="24"/>
      <w:u w:val="single"/>
    </w:rPr>
  </w:style>
  <w:style w:type="character" w:styleId="1338" w:customStyle="1">
    <w:name w:val="明显强调3"/>
    <w:uiPriority w:val="0"/>
    <w:qFormat/>
    <w:rPr>
      <w:rFonts w:cs="Times New Roman"/>
      <w:b/>
      <w:i/>
      <w:sz w:val="24"/>
      <w:szCs w:val="24"/>
      <w:u w:val="single"/>
    </w:rPr>
  </w:style>
  <w:style w:type="character" w:styleId="1339" w:customStyle="1">
    <w:name w:val="书籍标题3"/>
    <w:uiPriority w:val="0"/>
    <w:qFormat/>
    <w:rPr>
      <w:rFonts w:ascii="Arial" w:hAnsi="Arial" w:eastAsia="黑体" w:cs="Times New Roman"/>
      <w:b/>
      <w:i/>
      <w:sz w:val="24"/>
      <w:szCs w:val="24"/>
    </w:rPr>
  </w:style>
  <w:style w:type="character" w:styleId="1340" w:customStyle="1">
    <w:name w:val="不明显参考3"/>
    <w:uiPriority w:val="0"/>
    <w:qFormat/>
    <w:rPr>
      <w:rFonts w:cs="Times New Roman"/>
      <w:sz w:val="24"/>
      <w:szCs w:val="24"/>
      <w:u w:val="single"/>
    </w:rPr>
  </w:style>
  <w:style w:type="paragraph" w:styleId="1341" w:customStyle="1">
    <w:name w:val="Char Char3"/>
    <w:basedOn w:val="892"/>
    <w:uiPriority w:val="0"/>
    <w:qFormat/>
    <w:rPr>
      <w:rFonts w:ascii="Tahoma" w:hAnsi="Tahoma"/>
      <w:sz w:val="24"/>
      <w:szCs w:val="20"/>
    </w:rPr>
  </w:style>
  <w:style w:type="paragraph" w:styleId="1342" w:customStyle="1">
    <w:name w:val="Char Char12"/>
    <w:basedOn w:val="892"/>
    <w:uiPriority w:val="0"/>
    <w:qFormat/>
    <w:pPr>
      <w:jc w:val="left"/>
      <w:spacing w:after="160" w:line="240" w:lineRule="exact"/>
      <w:widowControl/>
    </w:pPr>
    <w:rPr>
      <w:rFonts w:ascii="Verdana" w:hAnsi="Verdana" w:eastAsia="仿宋_GB2312"/>
      <w:sz w:val="24"/>
      <w:szCs w:val="20"/>
      <w:lang w:eastAsia="en-US"/>
    </w:rPr>
  </w:style>
  <w:style w:type="paragraph" w:styleId="1343" w:customStyle="1">
    <w:name w:val="Char3"/>
    <w:basedOn w:val="892"/>
    <w:uiPriority w:val="0"/>
    <w:qFormat/>
  </w:style>
  <w:style w:type="paragraph" w:styleId="1344" w:customStyle="1">
    <w:name w:val="Char Char1 Char Char Char Char Char Char Char Char Char Char2"/>
    <w:basedOn w:val="892"/>
    <w:uiPriority w:val="0"/>
    <w:qFormat/>
    <w:pPr>
      <w:jc w:val="left"/>
      <w:spacing w:after="160" w:line="240" w:lineRule="exact"/>
      <w:widowControl/>
    </w:pPr>
    <w:rPr>
      <w:rFonts w:ascii="Verdana" w:hAnsi="Verdana" w:eastAsia="仿宋_GB2312"/>
      <w:sz w:val="24"/>
      <w:szCs w:val="20"/>
      <w:lang w:eastAsia="en-US"/>
    </w:rPr>
  </w:style>
  <w:style w:type="paragraph" w:styleId="1345" w:customStyle="1">
    <w:name w:val="Char Char Char Char Char Char Char3"/>
    <w:basedOn w:val="892"/>
    <w:uiPriority w:val="0"/>
    <w:qFormat/>
    <w:pPr>
      <w:ind w:left="432" w:hanging="432"/>
      <w:tabs>
        <w:tab w:val="left" w:pos="432" w:leader="none"/>
      </w:tabs>
    </w:pPr>
    <w:rPr>
      <w:rFonts w:ascii="Tahoma" w:hAnsi="Tahoma"/>
      <w:sz w:val="24"/>
      <w:szCs w:val="20"/>
    </w:rPr>
  </w:style>
  <w:style w:type="paragraph" w:styleId="1346" w:customStyle="1">
    <w:name w:val="Char Char Char1 Char11"/>
    <w:basedOn w:val="892"/>
    <w:uiPriority w:val="0"/>
    <w:qFormat/>
    <w:pPr>
      <w:ind w:firstLine="200"/>
      <w:spacing w:line="360" w:lineRule="auto"/>
    </w:pPr>
    <w:rPr>
      <w:rFonts w:ascii="宋体" w:hAnsi="宋体" w:cs="宋体"/>
      <w:sz w:val="24"/>
    </w:rPr>
  </w:style>
  <w:style w:type="paragraph" w:styleId="1347" w:customStyle="1">
    <w:name w:val="引用3"/>
    <w:basedOn w:val="892"/>
    <w:next w:val="892"/>
    <w:uiPriority w:val="0"/>
    <w:qFormat/>
    <w:pPr>
      <w:jc w:val="left"/>
      <w:widowControl/>
    </w:pPr>
    <w:rPr>
      <w:i/>
      <w:sz w:val="24"/>
      <w:lang w:eastAsia="en-US"/>
    </w:rPr>
  </w:style>
  <w:style w:type="paragraph" w:styleId="1348" w:customStyle="1">
    <w:name w:val="明显引用3"/>
    <w:basedOn w:val="892"/>
    <w:next w:val="892"/>
    <w:uiPriority w:val="0"/>
    <w:qFormat/>
    <w:pPr>
      <w:ind w:left="720" w:right="720"/>
      <w:jc w:val="left"/>
      <w:widowControl/>
    </w:pPr>
    <w:rPr>
      <w:b/>
      <w:i/>
      <w:sz w:val="24"/>
      <w:szCs w:val="22"/>
      <w:lang w:eastAsia="en-US"/>
    </w:rPr>
  </w:style>
  <w:style w:type="paragraph" w:styleId="1349" w:customStyle="1">
    <w:name w:val="列出段落3"/>
    <w:basedOn w:val="892"/>
    <w:uiPriority w:val="34"/>
    <w:qFormat/>
    <w:pPr>
      <w:contextualSpacing/>
      <w:ind w:left="720"/>
      <w:jc w:val="left"/>
      <w:widowControl/>
    </w:pPr>
    <w:rPr>
      <w:sz w:val="24"/>
      <w:lang w:eastAsia="en-US"/>
    </w:rPr>
  </w:style>
  <w:style w:type="paragraph" w:styleId="1350" w:customStyle="1">
    <w:name w:val="无间隔31"/>
    <w:basedOn w:val="892"/>
    <w:uiPriority w:val="0"/>
    <w:qFormat/>
    <w:pPr>
      <w:jc w:val="left"/>
      <w:widowControl/>
    </w:pPr>
    <w:rPr>
      <w:sz w:val="24"/>
      <w:szCs w:val="32"/>
      <w:lang w:eastAsia="en-US"/>
    </w:rPr>
  </w:style>
  <w:style w:type="paragraph" w:styleId="1351" w:customStyle="1">
    <w:name w:val="纯文本3"/>
    <w:basedOn w:val="892"/>
    <w:uiPriority w:val="0"/>
    <w:qFormat/>
    <w:rPr>
      <w:rFonts w:hint="eastAsia" w:ascii="宋体" w:hAnsi="Courier New"/>
    </w:rPr>
  </w:style>
  <w:style w:type="character" w:styleId="1352" w:customStyle="1">
    <w:name w:val="DL 段落缩进2 Char Char"/>
    <w:link w:val="1353"/>
    <w:uiPriority w:val="0"/>
    <w:qFormat/>
    <w:rPr>
      <w:rFonts w:ascii="宋体" w:hAnsi="宋体"/>
      <w:szCs w:val="21"/>
    </w:rPr>
  </w:style>
  <w:style w:type="paragraph" w:styleId="1353" w:customStyle="1">
    <w:name w:val="DL 段落缩进2"/>
    <w:basedOn w:val="892"/>
    <w:link w:val="1352"/>
    <w:uiPriority w:val="0"/>
    <w:qFormat/>
    <w:pPr>
      <w:ind w:firstLine="420"/>
    </w:pPr>
    <w:rPr>
      <w:rFonts w:ascii="宋体" w:hAnsi="宋体"/>
      <w:sz w:val="20"/>
      <w:szCs w:val="21"/>
    </w:rPr>
  </w:style>
  <w:style w:type="paragraph" w:styleId="1354" w:customStyle="1">
    <w:name w:val="Char Char13"/>
    <w:basedOn w:val="892"/>
    <w:uiPriority w:val="0"/>
    <w:qFormat/>
    <w:pPr>
      <w:jc w:val="left"/>
      <w:spacing w:after="160" w:line="240" w:lineRule="exact"/>
      <w:widowControl/>
    </w:pPr>
    <w:rPr>
      <w:rFonts w:ascii="Verdana" w:hAnsi="Verdana" w:eastAsia="仿宋_GB2312"/>
      <w:sz w:val="24"/>
      <w:szCs w:val="20"/>
      <w:lang w:eastAsia="en-US"/>
    </w:rPr>
  </w:style>
  <w:style w:type="paragraph" w:styleId="1355" w:customStyle="1">
    <w:name w:val="Char Char4"/>
    <w:basedOn w:val="892"/>
    <w:uiPriority w:val="0"/>
    <w:qFormat/>
    <w:rPr>
      <w:rFonts w:ascii="Tahoma" w:hAnsi="Tahoma"/>
      <w:sz w:val="24"/>
      <w:szCs w:val="20"/>
    </w:rPr>
  </w:style>
  <w:style w:type="paragraph" w:styleId="1356" w:customStyle="1">
    <w:name w:val="Char4"/>
    <w:basedOn w:val="892"/>
    <w:uiPriority w:val="0"/>
    <w:qFormat/>
  </w:style>
  <w:style w:type="paragraph" w:styleId="1357" w:customStyle="1">
    <w:name w:val="Char Char1 Char Char Char Char Char Char Char Char Char Char3"/>
    <w:basedOn w:val="892"/>
    <w:uiPriority w:val="0"/>
    <w:qFormat/>
    <w:pPr>
      <w:jc w:val="left"/>
      <w:spacing w:after="160" w:line="240" w:lineRule="exact"/>
      <w:widowControl/>
    </w:pPr>
    <w:rPr>
      <w:rFonts w:ascii="Verdana" w:hAnsi="Verdana" w:eastAsia="仿宋_GB2312"/>
      <w:sz w:val="24"/>
      <w:szCs w:val="20"/>
      <w:lang w:eastAsia="en-US"/>
    </w:rPr>
  </w:style>
  <w:style w:type="paragraph" w:styleId="1358" w:customStyle="1">
    <w:name w:val="Char Char Char Char Char Char Char4"/>
    <w:basedOn w:val="892"/>
    <w:uiPriority w:val="0"/>
    <w:qFormat/>
    <w:pPr>
      <w:ind w:left="432" w:hanging="432"/>
      <w:tabs>
        <w:tab w:val="left" w:pos="432" w:leader="none"/>
      </w:tabs>
    </w:pPr>
    <w:rPr>
      <w:rFonts w:ascii="Tahoma" w:hAnsi="Tahoma"/>
      <w:sz w:val="24"/>
      <w:szCs w:val="20"/>
    </w:rPr>
  </w:style>
  <w:style w:type="paragraph" w:styleId="1359" w:customStyle="1">
    <w:name w:val="纯文本4"/>
    <w:basedOn w:val="892"/>
    <w:uiPriority w:val="0"/>
    <w:qFormat/>
    <w:rPr>
      <w:rFonts w:ascii="宋体" w:hAnsi="Courier New" w:eastAsia="楷体_GB2312"/>
      <w:sz w:val="26"/>
      <w:szCs w:val="20"/>
    </w:rPr>
  </w:style>
  <w:style w:type="paragraph" w:styleId="1360" w:customStyle="1">
    <w:name w:val="_Style 2"/>
    <w:basedOn w:val="892"/>
    <w:uiPriority w:val="0"/>
    <w:qFormat/>
    <w:pPr>
      <w:ind w:firstLine="420"/>
    </w:pPr>
    <w:rPr>
      <w:rFonts w:ascii="Calibri" w:hAnsi="Calibri" w:cs="Calibri"/>
      <w:szCs w:val="21"/>
    </w:rPr>
  </w:style>
  <w:style w:type="character" w:styleId="1361" w:customStyle="1">
    <w:name w:val="表正文 Char1"/>
    <w:uiPriority w:val="0"/>
    <w:qFormat/>
    <w:rPr>
      <w:rFonts w:eastAsia="楷体_GB2312"/>
      <w:sz w:val="24"/>
      <w:lang w:val="en-US" w:eastAsia="zh-CN" w:bidi="ar-SA"/>
    </w:rPr>
  </w:style>
  <w:style w:type="paragraph" w:styleId="1362" w:customStyle="1">
    <w:name w:val="纯文本5"/>
    <w:basedOn w:val="892"/>
    <w:uiPriority w:val="0"/>
    <w:qFormat/>
    <w:rPr>
      <w:rFonts w:ascii="宋体" w:hAnsi="Courier New"/>
    </w:rPr>
  </w:style>
  <w:style w:type="paragraph" w:styleId="1363" w:customStyle="1">
    <w:name w:val="正文（缩进）"/>
    <w:basedOn w:val="892"/>
    <w:uiPriority w:val="0"/>
    <w:unhideWhenUsed/>
    <w:qFormat/>
    <w:pPr>
      <w:ind w:firstLine="200"/>
    </w:pPr>
    <w:rPr>
      <w:rFonts w:hint="eastAsia" w:ascii="宋体"/>
      <w:szCs w:val="21"/>
    </w:rPr>
  </w:style>
  <w:style w:type="paragraph" w:styleId="1364" w:customStyle="1">
    <w:name w:val="条款样式"/>
    <w:uiPriority w:val="0"/>
    <w:qFormat/>
    <w:pPr>
      <w:contextualSpacing/>
      <w:ind w:left="771" w:hanging="771"/>
      <w:spacing w:line="440" w:lineRule="exact"/>
      <w:widowControl w:val="off"/>
      <w:tabs>
        <w:tab w:val="left" w:pos="770" w:leader="none"/>
      </w:tabs>
    </w:pPr>
    <w:rPr>
      <w:rFonts w:ascii="Times New Roman" w:hAnsi="Times New Roman" w:eastAsia="宋体" w:cs="Times New Roman"/>
      <w:sz w:val="21"/>
      <w:szCs w:val="22"/>
      <w:lang w:val="en-US" w:eastAsia="zh-CN" w:bidi="ar-SA"/>
    </w:rPr>
  </w:style>
  <w:style w:type="character" w:styleId="1365" w:customStyle="1">
    <w:name w:val="15"/>
    <w:uiPriority w:val="0"/>
    <w:qFormat/>
    <w:rPr>
      <w:rFonts w:hint="eastAsia" w:ascii="宋体" w:hAnsi="宋体" w:eastAsia="宋体"/>
      <w:color w:val="000000"/>
      <w:sz w:val="24"/>
      <w:szCs w:val="24"/>
    </w:rPr>
  </w:style>
  <w:style w:type="table" w:styleId="1366" w:customStyle="1">
    <w:name w:val="Table Normal"/>
    <w:uiPriority w:val="0"/>
    <w:unhideWhenUsed/>
    <w:qFormat/>
    <w:tblPr>
      <w:tblCellMar>
        <w:left w:w="0" w:type="dxa"/>
        <w:top w:w="0" w:type="dxa"/>
        <w:right w:w="0" w:type="dxa"/>
        <w:bottom w:w="0" w:type="dxa"/>
      </w:tblCellMar>
    </w:tblPr>
  </w:style>
  <w:style w:type="paragraph" w:styleId="1367" w:customStyle="1">
    <w:name w:val="纯文本111"/>
    <w:basedOn w:val="1108"/>
    <w:uiPriority w:val="0"/>
    <w:qFormat/>
    <w:rPr>
      <w:rFonts w:ascii="宋体" w:hAnsi="Courier New"/>
      <w:sz w:val="24"/>
      <w:szCs w:val="20"/>
    </w:rPr>
  </w:style>
  <w:style w:type="paragraph" w:styleId="1368" w:customStyle="1">
    <w:name w:val="标题 61"/>
    <w:basedOn w:val="1108"/>
    <w:next w:val="1108"/>
    <w:uiPriority w:val="0"/>
    <w:qFormat/>
    <w:pPr>
      <w:ind w:left="1264"/>
      <w:outlineLvl w:val="5"/>
    </w:pPr>
    <w:rPr>
      <w:b/>
      <w:bCs/>
    </w:rPr>
  </w:style>
  <w:style w:type="paragraph" w:styleId="1369" w:customStyle="1">
    <w:name w:val="标题 31"/>
    <w:basedOn w:val="1108"/>
    <w:next w:val="1108"/>
    <w:uiPriority w:val="0"/>
    <w:qFormat/>
    <w:pPr>
      <w:numPr>
        <w:ilvl w:val="2"/>
        <w:numId w:val="5"/>
      </w:numPr>
      <w:keepLines/>
      <w:keepNext/>
      <w:spacing w:before="120" w:after="120" w:line="300" w:lineRule="auto"/>
      <w:outlineLvl w:val="2"/>
    </w:pPr>
    <w:rPr>
      <w:b/>
      <w:bCs/>
      <w:sz w:val="30"/>
      <w:szCs w:val="32"/>
    </w:rPr>
  </w:style>
  <w:style w:type="paragraph" w:styleId="1370" w:customStyle="1">
    <w:name w:val="题注1"/>
    <w:basedOn w:val="1108"/>
    <w:next w:val="1108"/>
    <w:uiPriority w:val="0"/>
    <w:qFormat/>
    <w:rPr>
      <w:rFonts w:ascii="Arial" w:hAnsi="Arial" w:eastAsia="黑体"/>
      <w:sz w:val="20"/>
      <w:szCs w:val="20"/>
      <w:lang w:eastAsia="en-US"/>
    </w:rPr>
  </w:style>
  <w:style w:type="paragraph" w:styleId="1371" w:customStyle="1">
    <w:name w:val="正文文本 31"/>
    <w:basedOn w:val="1108"/>
    <w:uiPriority w:val="0"/>
    <w:qFormat/>
    <w:rPr>
      <w:rFonts w:ascii="宋体"/>
      <w:sz w:val="28"/>
      <w:szCs w:val="20"/>
    </w:rPr>
  </w:style>
  <w:style w:type="paragraph" w:styleId="1372" w:customStyle="1">
    <w:name w:val="页眉1"/>
    <w:basedOn w:val="1108"/>
    <w:uiPriority w:val="0"/>
    <w:qFormat/>
    <w:pPr>
      <w:jc w:val="center"/>
      <w:tabs>
        <w:tab w:val="center" w:pos="4153" w:leader="none"/>
        <w:tab w:val="right" w:pos="8306" w:leader="none"/>
      </w:tabs>
      <w:pBdr>
        <w:bottom w:val="single" w:color="000000" w:sz="6" w:space="1"/>
      </w:pBdr>
    </w:pPr>
    <w:rPr>
      <w:sz w:val="18"/>
      <w:szCs w:val="18"/>
    </w:rPr>
  </w:style>
  <w:style w:type="paragraph" w:styleId="1373" w:customStyle="1">
    <w:name w:val="页脚1"/>
    <w:basedOn w:val="1108"/>
    <w:uiPriority w:val="0"/>
    <w:qFormat/>
    <w:pPr>
      <w:jc w:val="left"/>
      <w:tabs>
        <w:tab w:val="center" w:pos="4153" w:leader="none"/>
        <w:tab w:val="right" w:pos="8306" w:leader="none"/>
      </w:tabs>
    </w:pPr>
    <w:rPr>
      <w:sz w:val="18"/>
      <w:szCs w:val="20"/>
    </w:rPr>
  </w:style>
  <w:style w:type="paragraph" w:styleId="1374" w:customStyle="1">
    <w:name w:val="正文111"/>
    <w:next w:val="1111"/>
    <w:uiPriority w:val="0"/>
    <w:qFormat/>
    <w:pPr>
      <w:jc w:val="both"/>
      <w:widowControl w:val="off"/>
    </w:pPr>
    <w:rPr>
      <w:rFonts w:ascii="Times New Roman" w:hAnsi="Times New Roman" w:eastAsia="宋体" w:cs="Times New Roman"/>
      <w:sz w:val="21"/>
      <w:szCs w:val="24"/>
      <w:lang w:val="en-US" w:eastAsia="zh-CN" w:bidi="ar-SA"/>
    </w:rPr>
  </w:style>
  <w:style w:type="paragraph" w:styleId="1375" w:customStyle="1">
    <w:name w:val="修订1"/>
    <w:uiPriority w:val="99"/>
    <w:unhideWhenUsed/>
    <w:qFormat/>
    <w:rPr>
      <w:rFonts w:ascii="Times New Roman" w:hAnsi="Times New Roman" w:eastAsia="宋体" w:cs="Times New Roman"/>
      <w:sz w:val="21"/>
      <w:szCs w:val="24"/>
      <w:lang w:val="en-US" w:eastAsia="zh-CN" w:bidi="ar-SA"/>
    </w:rPr>
  </w:style>
  <w:style w:type="paragraph" w:styleId="1376" w:customStyle="1">
    <w:name w:val="列表段落"/>
    <w:basedOn w:val="892"/>
    <w:uiPriority w:val="0"/>
    <w:qFormat/>
    <w:pPr>
      <w:ind w:firstLine="420"/>
    </w:pPr>
    <w:rPr>
      <w:sz w:val="18"/>
      <w:szCs w:val="18"/>
    </w:rPr>
  </w:style>
  <w:style w:type="character" w:styleId="1377" w:customStyle="1">
    <w:name w:val="active15"/>
    <w:basedOn w:val="1119"/>
    <w:uiPriority w:val="0"/>
    <w:qFormat/>
    <w:rPr>
      <w:color w:val="ffffff"/>
      <w:shd w:val="clear" w:color="auto" w:fill="0f5bb9"/>
    </w:rPr>
  </w:style>
  <w:style w:type="character" w:styleId="1378" w:customStyle="1">
    <w:name w:val="批注框文本 Char1"/>
    <w:basedOn w:val="902"/>
    <w:link w:val="915"/>
    <w:uiPriority w:val="99"/>
    <w:semiHidden/>
    <w:qFormat/>
    <w:rPr>
      <w:sz w:val="18"/>
      <w:szCs w:val="18"/>
    </w:rPr>
  </w:style>
  <w:style w:type="paragraph" w:styleId="1379" w:customStyle="1">
    <w:name w:val="标题 111"/>
    <w:basedOn w:val="892"/>
    <w:next w:val="110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1380" w:customStyle="1">
    <w:name w:val="font11"/>
    <w:uiPriority w:val="0"/>
    <w:qFormat/>
    <w:rPr>
      <w:rFonts w:hint="eastAsia" w:ascii="宋体" w:hAnsi="宋体" w:eastAsia="宋体" w:cs="宋体"/>
      <w:color w:val="000000"/>
      <w:sz w:val="20"/>
      <w:szCs w:val="20"/>
    </w:rPr>
  </w:style>
  <w:style w:type="paragraph" w:styleId="1381" w:customStyle="1">
    <w:name w:val="Other|1"/>
    <w:basedOn w:val="1108"/>
    <w:uiPriority w:val="0"/>
    <w:qFormat/>
    <w:pPr>
      <w:spacing w:line="396" w:lineRule="exact"/>
    </w:pPr>
    <w:rPr>
      <w:lang w:val="zh-TW" w:eastAsia="zh-TW" w:bidi="zh-TW"/>
    </w:rPr>
  </w:style>
  <w:style w:type="character" w:styleId="1382" w:customStyle="1">
    <w:name w:val="first-child"/>
    <w:basedOn w:val="902"/>
    <w:uiPriority w:val="0"/>
    <w:qFormat/>
  </w:style>
  <w:style w:type="character" w:styleId="1383" w:customStyle="1">
    <w:name w:val="layui-layer-tabnow"/>
    <w:basedOn w:val="902"/>
    <w:uiPriority w:val="0"/>
    <w:qFormat/>
    <w:rPr>
      <w:shd w:val="clear" w:color="auto" w:fill="ffffff"/>
    </w:rPr>
  </w:style>
  <w:style w:type="character" w:styleId="1384" w:customStyle="1">
    <w:name w:val="hover6"/>
    <w:basedOn w:val="902"/>
    <w:uiPriority w:val="0"/>
    <w:qFormat/>
    <w:rPr>
      <w:color w:val="5fb878"/>
    </w:rPr>
  </w:style>
  <w:style w:type="character" w:styleId="1385" w:customStyle="1">
    <w:name w:val="hover7"/>
    <w:basedOn w:val="902"/>
    <w:uiPriority w:val="0"/>
    <w:qFormat/>
    <w:rPr>
      <w:color w:val="5fb878"/>
    </w:rPr>
  </w:style>
  <w:style w:type="character" w:styleId="1386" w:customStyle="1">
    <w:name w:val="hover8"/>
    <w:basedOn w:val="902"/>
    <w:uiPriority w:val="0"/>
    <w:qFormat/>
    <w:rPr>
      <w:color w:val="ffffff"/>
    </w:rPr>
  </w:style>
  <w:style w:type="character" w:styleId="1387" w:customStyle="1">
    <w:name w:val="webupload"/>
    <w:basedOn w:val="902"/>
    <w:uiPriority w:val="0"/>
    <w:qFormat/>
    <w:rPr>
      <w:color w:val="4e7adb"/>
    </w:rPr>
  </w:style>
  <w:style w:type="paragraph" w:styleId="1388" w:customStyle="1">
    <w:name w:val="Table Text"/>
    <w:basedOn w:val="892"/>
    <w:uiPriority w:val="0"/>
    <w:semiHidden/>
    <w:qFormat/>
    <w:rPr>
      <w:rFonts w:ascii="Arial" w:hAnsi="Arial" w:eastAsia="Arial" w:cs="Arial"/>
      <w:szCs w:val="21"/>
      <w:lang w:eastAsia="en-US"/>
    </w:rPr>
  </w:style>
  <w:style w:type="character" w:styleId="1389" w:customStyle="1">
    <w:name w:val="font31"/>
    <w:uiPriority w:val="0"/>
    <w:qFormat/>
    <w:rPr>
      <w:rFonts w:ascii="楷体_GB2312" w:eastAsia="楷体_GB2312"/>
      <w:color w:val="000000"/>
      <w:sz w:val="19"/>
      <w:szCs w:val="19"/>
    </w:rPr>
  </w:style>
  <w:style w:type="numbering" w:styleId="1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5</cp:revision>
  <dcterms:created xsi:type="dcterms:W3CDTF">2025-10-27T01:04:00Z</dcterms:created>
  <dcterms:modified xsi:type="dcterms:W3CDTF">2025-10-30T06:56:20Z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94DBDB2C93EB4D38B17BFD34086890A9_13</vt:lpwstr>
  </property>
  <property fmtid="{D5CDD505-2E9C-101B-9397-08002B2CF9AE}" pid="4" name="KSOTemplateDocerSaveRecord">
    <vt:lpwstr>eyJoZGlkIjoiYjVjMDQxYTQ5ZTQ1MGUwOGZhYmJjM2QxYjI3N2UzNDUiLCJ1c2VySWQiOiI1MDA4NTIyODgifQ==</vt:lpwstr>
  </property>
</Properties>
</file>